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150"/>
        <w:jc w:val="right"/>
        <w:rPr>
          <w:rFonts w:ascii="Trebuchet MS" w:hAnsi="Trebuchet MS" w:eastAsia="Times New Roman" w:cs="Arial" w:asciiTheme="majorHAnsi" w:hAnsiTheme="majorHAnsi"/>
          <w:b/>
          <w:b/>
          <w:color w:val="0070C0"/>
          <w:sz w:val="24"/>
          <w:szCs w:val="24"/>
          <w:lang w:eastAsia="en-GB"/>
        </w:rPr>
      </w:pPr>
      <w:r>
        <w:rPr>
          <w:rFonts w:eastAsia="Times New Roman" w:cs="Arial"/>
          <w:b/>
          <w:color w:val="0070C0"/>
          <w:sz w:val="24"/>
          <w:szCs w:val="24"/>
          <w:lang w:eastAsia="en-GB"/>
        </w:rPr>
        <w:t>21.07.2020</w:t>
      </w:r>
    </w:p>
    <w:p>
      <w:pPr>
        <w:pStyle w:val="Normal"/>
        <w:numPr>
          <w:ilvl w:val="0"/>
          <w:numId w:val="0"/>
        </w:numPr>
        <w:pBdr>
          <w:bottom w:val="single" w:sz="6" w:space="2" w:color="B9D2E3"/>
        </w:pBdr>
        <w:shd w:val="clear" w:color="auto" w:fill="FFFFFF"/>
        <w:spacing w:lineRule="auto" w:line="360" w:before="0" w:after="0"/>
        <w:ind w:left="75" w:right="75" w:hanging="0"/>
        <w:jc w:val="center"/>
        <w:outlineLvl w:val="0"/>
        <w:rPr>
          <w:rFonts w:ascii="Trebuchet MS" w:hAnsi="Trebuchet MS" w:eastAsia="Times New Roman" w:cs="Tahoma" w:asciiTheme="majorHAnsi" w:hAnsiTheme="majorHAnsi"/>
          <w:b/>
          <w:b/>
          <w:bCs/>
          <w:color w:val="0070C0"/>
          <w:kern w:val="2"/>
          <w:sz w:val="28"/>
          <w:szCs w:val="24"/>
          <w:lang w:eastAsia="en-GB"/>
        </w:rPr>
      </w:pPr>
      <w:r>
        <w:rPr>
          <w:rFonts w:eastAsia="Times New Roman" w:cs="Tahoma"/>
          <w:b/>
          <w:bCs/>
          <w:color w:val="0070C0"/>
          <w:kern w:val="2"/>
          <w:sz w:val="28"/>
          <w:szCs w:val="24"/>
          <w:lang w:eastAsia="en-GB"/>
        </w:rPr>
        <w:t>Comunicat de presă</w:t>
      </w:r>
    </w:p>
    <w:p>
      <w:pPr>
        <w:pStyle w:val="Normal"/>
        <w:jc w:val="center"/>
        <w:rPr>
          <w:b/>
          <w:b/>
          <w:color w:val="0070C0"/>
          <w:sz w:val="24"/>
          <w:szCs w:val="24"/>
        </w:rPr>
      </w:pPr>
      <w:r>
        <w:rPr>
          <w:b/>
          <w:color w:val="0070C0"/>
          <w:sz w:val="24"/>
          <w:szCs w:val="24"/>
        </w:rPr>
        <w:t>Peste 6.700 de candidați sunt așteptați miercuri, 22 iulie, la proba scrisă a examenului național de definitivare în învățământ (sesiunea 2020)</w:t>
      </w:r>
    </w:p>
    <w:p>
      <w:pPr>
        <w:pStyle w:val="Normal"/>
        <w:spacing w:lineRule="auto" w:line="240" w:before="160" w:after="150"/>
        <w:rPr>
          <w:rFonts w:eastAsia="Times New Roman" w:cs="Times New Roman"/>
          <w:sz w:val="23"/>
          <w:szCs w:val="23"/>
          <w:lang w:eastAsia="en-GB"/>
        </w:rPr>
      </w:pPr>
      <w:r>
        <w:rPr>
          <w:rFonts w:eastAsia="Times New Roman" w:cs="Times New Roman"/>
          <w:b/>
          <w:bCs/>
          <w:sz w:val="23"/>
          <w:szCs w:val="23"/>
          <w:lang w:eastAsia="en-GB"/>
        </w:rPr>
        <w:t>Proba scrisă din cadrul examenului național de definitivare în învățământ, sesiunea 2020, se va desfășura miercuri, 22 iulie, începând cu ora 10:00, în</w:t>
      </w:r>
      <w:r>
        <w:rPr>
          <w:rFonts w:eastAsia="Times New Roman" w:cs="Times New Roman"/>
          <w:sz w:val="23"/>
          <w:szCs w:val="23"/>
          <w:lang w:eastAsia="en-GB"/>
        </w:rPr>
        <w:t> </w:t>
      </w:r>
      <w:r>
        <w:rPr>
          <w:rFonts w:eastAsia="Times New Roman" w:cs="Times New Roman"/>
          <w:b/>
          <w:bCs/>
          <w:sz w:val="23"/>
          <w:szCs w:val="23"/>
          <w:lang w:eastAsia="en-GB"/>
        </w:rPr>
        <w:t>42 de centre de examen</w:t>
      </w:r>
      <w:r>
        <w:rPr>
          <w:rFonts w:eastAsia="Times New Roman" w:cs="Times New Roman"/>
          <w:sz w:val="23"/>
          <w:szCs w:val="23"/>
          <w:lang w:eastAsia="en-GB"/>
        </w:rPr>
        <w:t xml:space="preserve">. </w:t>
      </w:r>
    </w:p>
    <w:p>
      <w:pPr>
        <w:pStyle w:val="Normal"/>
        <w:spacing w:lineRule="auto" w:line="240" w:before="160" w:after="150"/>
        <w:rPr>
          <w:rFonts w:eastAsia="Times New Roman" w:cs="Times New Roman"/>
          <w:sz w:val="23"/>
          <w:szCs w:val="23"/>
          <w:lang w:eastAsia="en-GB"/>
        </w:rPr>
      </w:pPr>
      <w:r>
        <w:rPr>
          <w:rFonts w:eastAsia="Times New Roman" w:cs="Times New Roman"/>
          <w:sz w:val="23"/>
          <w:szCs w:val="23"/>
          <w:lang w:eastAsia="en-GB"/>
        </w:rPr>
        <w:t>Dintre cei </w:t>
      </w:r>
      <w:r>
        <w:rPr>
          <w:rFonts w:eastAsia="Times New Roman" w:cs="Times New Roman"/>
          <w:b/>
          <w:bCs/>
          <w:sz w:val="23"/>
          <w:szCs w:val="23"/>
          <w:lang w:eastAsia="en-GB"/>
        </w:rPr>
        <w:t>7.105 candidați înscriși</w:t>
      </w:r>
      <w:r>
        <w:rPr>
          <w:rFonts w:eastAsia="Times New Roman" w:cs="Times New Roman"/>
          <w:sz w:val="23"/>
          <w:szCs w:val="23"/>
          <w:lang w:eastAsia="en-GB"/>
        </w:rPr>
        <w:t xml:space="preserve"> la începutul anului școlar </w:t>
      </w:r>
      <w:r>
        <w:rPr>
          <w:rFonts w:eastAsia="Times New Roman" w:cs="Times New Roman"/>
          <w:b/>
          <w:sz w:val="23"/>
          <w:szCs w:val="23"/>
          <w:lang w:eastAsia="en-GB"/>
        </w:rPr>
        <w:t>la 95 de discipline de examen</w:t>
      </w:r>
      <w:r>
        <w:rPr>
          <w:rFonts w:eastAsia="Times New Roman" w:cs="Times New Roman"/>
          <w:sz w:val="23"/>
          <w:szCs w:val="23"/>
          <w:lang w:eastAsia="en-GB"/>
        </w:rPr>
        <w:t>, </w:t>
      </w:r>
      <w:r>
        <w:rPr>
          <w:rFonts w:eastAsia="Times New Roman" w:cs="Times New Roman"/>
          <w:bCs/>
          <w:sz w:val="23"/>
          <w:szCs w:val="23"/>
          <w:lang w:eastAsia="en-GB"/>
        </w:rPr>
        <w:t>au fost admiși la proba scrisă</w:t>
      </w:r>
      <w:r>
        <w:rPr>
          <w:rFonts w:eastAsia="Times New Roman" w:cs="Times New Roman"/>
          <w:b/>
          <w:bCs/>
          <w:sz w:val="23"/>
          <w:szCs w:val="23"/>
          <w:lang w:eastAsia="en-GB"/>
        </w:rPr>
        <w:t xml:space="preserve"> 6.776 de candidați, </w:t>
      </w:r>
      <w:r>
        <w:rPr>
          <w:rFonts w:eastAsia="Times New Roman" w:cs="Times New Roman"/>
          <w:sz w:val="23"/>
          <w:szCs w:val="23"/>
          <w:lang w:eastAsia="en-GB"/>
        </w:rPr>
        <w:t xml:space="preserve">care au îndeplinit cumulativ următoarele condiții: efectuarea unui stagiu de predare în specialitate de cel puțin un an, calificativul pentru anul școlar în curs „Bine” sau „Foarte bine” și media aritmetică a notelor obținute la inspecția la clasă și la evaluarea portofoliului profesional - minimum 8 (dar note nu mai mici de 7 la fiecare din probele respective). </w:t>
      </w:r>
    </w:p>
    <w:p>
      <w:pPr>
        <w:pStyle w:val="Normal"/>
        <w:spacing w:lineRule="auto" w:line="240" w:before="160" w:after="150"/>
        <w:rPr>
          <w:b/>
          <w:b/>
          <w:bCs/>
        </w:rPr>
      </w:pPr>
      <w:r>
        <w:rPr>
          <w:rFonts w:eastAsia="Times New Roman" w:cs="Times New Roman"/>
          <w:b/>
          <w:bCs/>
          <w:sz w:val="23"/>
          <w:szCs w:val="23"/>
          <w:lang w:eastAsia="en-GB"/>
        </w:rPr>
        <w:t>În  judeţul Gorj 77 de candidaţi vor susţine proba scrisă</w:t>
      </w:r>
    </w:p>
    <w:p>
      <w:pPr>
        <w:pStyle w:val="Normal"/>
        <w:spacing w:lineRule="auto" w:line="240" w:before="160" w:after="150"/>
        <w:rPr/>
      </w:pPr>
      <w:r>
        <w:rPr>
          <w:rFonts w:eastAsia="Times New Roman" w:cs="Times New Roman"/>
          <w:sz w:val="23"/>
          <w:szCs w:val="23"/>
          <w:lang w:eastAsia="en-GB"/>
        </w:rPr>
        <w:t xml:space="preserve">Având în vedere contextul pandemic care a impus o serie de restricții, inclusiv suspendarea cursurilor în școli, începând cu data de 11 martie 2020, candidații au fost admiși la proba scrisă cu condiția </w:t>
      </w:r>
      <w:r>
        <w:rPr>
          <w:rFonts w:eastAsia="Times New Roman" w:cs="Times New Roman"/>
          <w:b/>
          <w:sz w:val="23"/>
          <w:szCs w:val="23"/>
          <w:lang w:eastAsia="en-GB"/>
        </w:rPr>
        <w:t>susținerii unei singure inspecții la clasă (spre deosebire de anii anteriori, când se susțineau două inspecții).</w:t>
      </w:r>
      <w:r>
        <w:rPr>
          <w:rFonts w:eastAsia="Times New Roman" w:cs="Times New Roman"/>
          <w:sz w:val="23"/>
          <w:szCs w:val="23"/>
          <w:lang w:eastAsia="en-GB"/>
        </w:rPr>
        <w:t xml:space="preserve"> De asemenea, candidații au avut posibilitatea să solicite </w:t>
      </w:r>
      <w:r>
        <w:rPr>
          <w:rFonts w:eastAsia="Times New Roman" w:cs="Times New Roman"/>
          <w:b/>
          <w:sz w:val="23"/>
          <w:szCs w:val="23"/>
          <w:lang w:eastAsia="en-GB"/>
        </w:rPr>
        <w:t>echivalarea rezultatului obținut la ultima inspecție la clasă</w:t>
      </w:r>
      <w:r>
        <w:rPr>
          <w:rFonts w:eastAsia="Times New Roman" w:cs="Times New Roman"/>
          <w:sz w:val="23"/>
          <w:szCs w:val="23"/>
          <w:lang w:eastAsia="en-GB"/>
        </w:rPr>
        <w:t xml:space="preserve">, susținută în calitate de cadru didactic calificat. </w:t>
      </w:r>
      <w:r>
        <w:rPr>
          <w:rFonts w:eastAsia="Times New Roman" w:cs="Times New Roman"/>
          <w:b/>
          <w:sz w:val="23"/>
          <w:szCs w:val="23"/>
          <w:lang w:eastAsia="en-GB"/>
        </w:rPr>
        <w:t xml:space="preserve">Au beneficiat de această măsură specială 803 candidați </w:t>
      </w:r>
      <w:r>
        <w:rPr>
          <w:rFonts w:eastAsia="Times New Roman" w:cs="Times New Roman"/>
          <w:sz w:val="23"/>
          <w:szCs w:val="23"/>
          <w:lang w:eastAsia="en-GB"/>
        </w:rPr>
        <w:t xml:space="preserve">din totalul de 1.132 de candidați care nu aveau nicio inspecție susținută până la data de 11 martie a.c. De asemenea, </w:t>
      </w:r>
      <w:r>
        <w:rPr>
          <w:rFonts w:eastAsia="Times New Roman" w:cs="Times New Roman"/>
          <w:b/>
          <w:sz w:val="23"/>
          <w:szCs w:val="23"/>
          <w:lang w:eastAsia="en-GB"/>
        </w:rPr>
        <w:t>portofoliul profesional a putut fi transmis și online</w:t>
      </w:r>
      <w:r>
        <w:rPr>
          <w:rFonts w:eastAsia="Times New Roman" w:cs="Times New Roman"/>
          <w:sz w:val="23"/>
          <w:szCs w:val="23"/>
          <w:lang w:eastAsia="en-GB"/>
        </w:rPr>
        <w:t xml:space="preserve"> la inspectoratul școlar, spre evaluare.</w:t>
      </w:r>
    </w:p>
    <w:p>
      <w:pPr>
        <w:pStyle w:val="Normal"/>
        <w:spacing w:lineRule="auto" w:line="240" w:before="160" w:after="150"/>
        <w:rPr>
          <w:rFonts w:eastAsia="Times New Roman" w:cs="Times New Roman"/>
          <w:b/>
          <w:b/>
          <w:sz w:val="23"/>
          <w:szCs w:val="23"/>
          <w:lang w:eastAsia="en-GB"/>
        </w:rPr>
      </w:pPr>
      <w:r>
        <w:rPr>
          <w:rFonts w:eastAsia="Times New Roman" w:cs="Times New Roman"/>
          <w:sz w:val="23"/>
          <w:szCs w:val="23"/>
          <w:lang w:eastAsia="en-GB"/>
        </w:rPr>
        <w:t>Conform Metodologiei-cadru de organizare și desfășurare a examenului național de definitivare în învățământ, în vederea susținerii probei scrise, candidații vor avea acces în sălile de examen, cel mai devreme, la ora 8:00 și, cel mai târziu, la ora 8:45, în baza unui act de identitate/pașaport valabil</w:t>
      </w:r>
      <w:r>
        <w:rPr>
          <w:rFonts w:eastAsia="Times New Roman" w:cs="Times New Roman"/>
          <w:b/>
          <w:sz w:val="23"/>
          <w:szCs w:val="23"/>
          <w:lang w:eastAsia="en-GB"/>
        </w:rPr>
        <w:t xml:space="preserve">. În acest sens, vor fi respectate toate măsurile specifice în vigoare, aplicabile </w:t>
      </w:r>
      <w:r>
        <w:rPr>
          <w:rFonts w:eastAsia="Times New Roman" w:cs="Times New Roman"/>
          <w:b/>
          <w:sz w:val="23"/>
          <w:szCs w:val="23"/>
          <w:lang w:val="ro-MD" w:eastAsia="en-GB"/>
        </w:rPr>
        <w:t xml:space="preserve">în cazul </w:t>
      </w:r>
      <w:r>
        <w:rPr>
          <w:rFonts w:eastAsia="Times New Roman" w:cs="Times New Roman"/>
          <w:b/>
          <w:sz w:val="23"/>
          <w:szCs w:val="23"/>
          <w:lang w:eastAsia="en-GB"/>
        </w:rPr>
        <w:t>examenelor naționale</w:t>
      </w:r>
      <w:r>
        <w:rPr>
          <w:rFonts w:eastAsia="Times New Roman" w:cs="Times New Roman"/>
          <w:sz w:val="23"/>
          <w:szCs w:val="23"/>
          <w:lang w:eastAsia="en-GB"/>
        </w:rPr>
        <w:t>, referitoare la normele de acces în centrele de examen, pentru protejarea candidaților și a personalului implicat, în contextul situației epidemiologice determinate de răspândirea SARS-CoV-2.</w:t>
      </w:r>
      <w:r>
        <w:rPr>
          <w:rFonts w:eastAsia="Times New Roman" w:cs="Times New Roman"/>
          <w:b/>
          <w:sz w:val="23"/>
          <w:szCs w:val="23"/>
          <w:lang w:eastAsia="en-GB"/>
        </w:rPr>
        <w:t xml:space="preserve"> În fiecare sală de examen au fost repartizați maximum 10 candidați. </w:t>
      </w:r>
    </w:p>
    <w:p>
      <w:pPr>
        <w:pStyle w:val="Normal"/>
        <w:spacing w:lineRule="auto" w:line="240" w:before="160" w:after="150"/>
        <w:rPr>
          <w:rFonts w:eastAsia="Times New Roman" w:cs="Times New Roman"/>
          <w:sz w:val="23"/>
          <w:szCs w:val="23"/>
          <w:lang w:eastAsia="en-GB"/>
        </w:rPr>
      </w:pPr>
      <w:r>
        <w:rPr>
          <w:rFonts w:eastAsia="Times New Roman" w:cs="Times New Roman"/>
          <w:sz w:val="23"/>
          <w:szCs w:val="23"/>
          <w:lang w:eastAsia="en-GB"/>
        </w:rPr>
        <w:t>După primirea subiectelor, durata de redactare a lucrărilor este de 4 (patru) ore, timp ce poate fi depășit doar în cazul candidaț</w:t>
      </w:r>
      <w:bookmarkStart w:id="0" w:name="_GoBack"/>
      <w:bookmarkEnd w:id="0"/>
      <w:r>
        <w:rPr>
          <w:rFonts w:eastAsia="Times New Roman" w:cs="Times New Roman"/>
          <w:sz w:val="23"/>
          <w:szCs w:val="23"/>
          <w:lang w:eastAsia="en-GB"/>
        </w:rPr>
        <w:t>ilor cu cerințe speciale care au solicitat acest lucru.</w:t>
      </w:r>
    </w:p>
    <w:p>
      <w:pPr>
        <w:pStyle w:val="Normal"/>
        <w:spacing w:lineRule="auto" w:line="240" w:before="160" w:after="150"/>
        <w:rPr>
          <w:rFonts w:eastAsia="Times New Roman" w:cs="Times New Roman"/>
          <w:sz w:val="23"/>
          <w:szCs w:val="23"/>
          <w:lang w:eastAsia="en-GB"/>
        </w:rPr>
      </w:pPr>
      <w:r>
        <w:rPr>
          <w:rFonts w:eastAsia="Times New Roman" w:cs="Times New Roman"/>
          <w:sz w:val="23"/>
          <w:szCs w:val="23"/>
          <w:lang w:eastAsia="en-GB"/>
        </w:rPr>
        <w:t>La fel ca în anii anteriori, disciplinele de examen cu cel mai mare număr de candidați înscriși sunt: învățământ preșcolar în limba română (1.748 de candidați), învățământ primar în limba română (1.059), educație fizică și sport (837), limba și literatura engleză  (369) și limba si literatura română (313).</w:t>
      </w:r>
    </w:p>
    <w:p>
      <w:pPr>
        <w:pStyle w:val="Normal"/>
        <w:spacing w:lineRule="auto" w:line="240" w:before="160" w:after="150"/>
        <w:rPr/>
      </w:pPr>
      <w:r>
        <w:rPr>
          <w:rFonts w:eastAsia="Times New Roman" w:cs="Times New Roman"/>
          <w:sz w:val="23"/>
          <w:szCs w:val="23"/>
          <w:lang w:eastAsia="en-GB"/>
        </w:rPr>
        <w:t>Subiectele, traducerea acestora în limbile minorităților naționale la solicitarea candidaților, precum și baremele de evaluare sunt asigurate de către Centrul National de Politici și Evaluare în Educație și vor fi afișate, după susținerea probei scrise, pe site-ul </w:t>
      </w:r>
      <w:hyperlink r:id="rId2" w:tgtFrame="_blank">
        <w:r>
          <w:rPr>
            <w:rStyle w:val="InternetLink"/>
            <w:color w:val="337AB7"/>
            <w:sz w:val="23"/>
            <w:szCs w:val="23"/>
          </w:rPr>
          <w:t>subiecte.edu.ro</w:t>
        </w:r>
      </w:hyperlink>
      <w:r>
        <w:rPr>
          <w:rFonts w:eastAsia="Times New Roman" w:cs="Times New Roman"/>
          <w:sz w:val="23"/>
          <w:szCs w:val="23"/>
          <w:lang w:eastAsia="en-GB"/>
        </w:rPr>
        <w:t xml:space="preserve">  și la avizierele centrelor de examen. </w:t>
      </w:r>
    </w:p>
    <w:p>
      <w:pPr>
        <w:pStyle w:val="Normal"/>
        <w:spacing w:lineRule="auto" w:line="240" w:before="160" w:after="150"/>
        <w:rPr/>
      </w:pPr>
      <w:r>
        <w:rPr>
          <w:rFonts w:eastAsia="Times New Roman" w:cs="Times New Roman"/>
          <w:b/>
          <w:bCs/>
          <w:sz w:val="23"/>
          <w:szCs w:val="23"/>
          <w:lang w:eastAsia="en-GB"/>
        </w:rPr>
        <w:t xml:space="preserve">Primele rezultate vor fi afișate în data de 29 iulie în centrele de examen și pe site-ul </w:t>
      </w:r>
      <w:hyperlink r:id="rId3">
        <w:r>
          <w:rPr>
            <w:rStyle w:val="InternetLink"/>
            <w:b/>
            <w:bCs/>
            <w:color w:val="337AB7"/>
            <w:sz w:val="23"/>
            <w:szCs w:val="23"/>
          </w:rPr>
          <w:t>definitivat.edu.ro</w:t>
        </w:r>
      </w:hyperlink>
      <w:r>
        <w:rPr>
          <w:rFonts w:eastAsia="Times New Roman" w:cs="Times New Roman"/>
          <w:b/>
          <w:bCs/>
          <w:sz w:val="23"/>
          <w:szCs w:val="23"/>
          <w:lang w:eastAsia="en-GB"/>
        </w:rPr>
        <w:t>. </w:t>
      </w:r>
      <w:r>
        <w:rPr>
          <w:rFonts w:eastAsia="Times New Roman" w:cs="Times New Roman"/>
          <w:sz w:val="23"/>
          <w:szCs w:val="23"/>
          <w:lang w:eastAsia="en-GB"/>
        </w:rPr>
        <w:t>Contestațiile se depun la centrele de examen, conform calendarului aprobat, în zilele de 29 iulie, după afișarea rezultatelor, și pe 30 iulie, până la ora 12:00.  </w:t>
      </w:r>
      <w:r>
        <w:rPr>
          <w:rFonts w:eastAsia="Times New Roman" w:cs="Times New Roman"/>
          <w:b/>
          <w:bCs/>
          <w:sz w:val="23"/>
          <w:szCs w:val="23"/>
          <w:lang w:eastAsia="en-GB"/>
        </w:rPr>
        <w:t>Rezultatele finale se afișează la centrele de examen și pe site-ul anterior menționat, în data de 4 august 2020.</w:t>
      </w:r>
    </w:p>
    <w:p>
      <w:pPr>
        <w:pStyle w:val="Normal"/>
        <w:spacing w:lineRule="auto" w:line="240" w:before="160" w:after="150"/>
        <w:rPr>
          <w:rFonts w:eastAsia="Times New Roman" w:cs="Times New Roman"/>
          <w:b/>
          <w:b/>
          <w:bCs/>
          <w:sz w:val="23"/>
          <w:szCs w:val="23"/>
          <w:lang w:eastAsia="en-GB"/>
        </w:rPr>
      </w:pPr>
      <w:r>
        <w:rPr>
          <w:rFonts w:eastAsia="Times New Roman" w:cs="Times New Roman"/>
          <w:sz w:val="23"/>
          <w:szCs w:val="23"/>
          <w:lang w:eastAsia="en-GB"/>
        </w:rPr>
        <w:t>Nota la proba scrisă are o pondere de 70% în calculul mediei finale, care trebuie să fie de cel puțin      8 (opt) pentru promovarea examenului.</w:t>
      </w:r>
      <w:r>
        <w:rPr>
          <w:rFonts w:eastAsia="Times New Roman" w:cs="Times New Roman"/>
          <w:b/>
          <w:bCs/>
          <w:sz w:val="23"/>
          <w:szCs w:val="23"/>
          <w:lang w:eastAsia="en-GB"/>
        </w:rPr>
        <w:t xml:space="preserve"> </w:t>
      </w:r>
    </w:p>
    <w:p>
      <w:pPr>
        <w:pStyle w:val="Normal"/>
        <w:spacing w:lineRule="auto" w:line="240" w:before="160" w:after="150"/>
        <w:rPr>
          <w:rFonts w:eastAsia="Times New Roman" w:cs="Times New Roman"/>
          <w:sz w:val="23"/>
          <w:szCs w:val="23"/>
          <w:lang w:eastAsia="en-GB"/>
        </w:rPr>
      </w:pPr>
      <w:r>
        <w:rPr>
          <w:rFonts w:eastAsia="Times New Roman" w:cs="Times New Roman"/>
          <w:b/>
          <w:bCs/>
          <w:sz w:val="23"/>
          <w:szCs w:val="23"/>
          <w:lang w:eastAsia="en-GB"/>
        </w:rPr>
        <w:t>Cadrele didactice promovate dobândesc dreptul de practică în învățământul preuniversitar, acesta fiind, de altfel, și obiectivul acestui examen național</w:t>
      </w:r>
      <w:r>
        <w:rPr>
          <w:rFonts w:eastAsia="Times New Roman" w:cs="Times New Roman"/>
          <w:sz w:val="23"/>
          <w:szCs w:val="23"/>
          <w:lang w:eastAsia="en-GB"/>
        </w:rPr>
        <w:t>. Prin dobândirea definitivării în învățământ, cadrul didactic depășește stadiul de debutant și poate intra pe o rută de profesionalizare ascendentă, având dreptul de a deveni titular în sistemul de învățământ preuniversitar și de a participa ulterior la susținerea examenelor pentru obținerea gradelor didactice.</w:t>
      </w:r>
    </w:p>
    <w:p>
      <w:pPr>
        <w:pStyle w:val="Normal"/>
        <w:spacing w:lineRule="auto" w:line="240" w:before="160" w:after="150"/>
        <w:rPr/>
      </w:pPr>
      <w:r>
        <w:rPr>
          <w:rFonts w:eastAsia="Times New Roman" w:cs="Times New Roman"/>
          <w:sz w:val="23"/>
          <w:szCs w:val="23"/>
          <w:lang w:eastAsia="en-GB"/>
        </w:rPr>
        <w:t xml:space="preserve">Informații suplimentare despre organizarea și desfășurarea examenului național de definitivare în învățământ, precum și despre programele specifice pentru examen sunt disponibile pe site-ul </w:t>
      </w:r>
      <w:hyperlink r:id="rId4">
        <w:r>
          <w:rPr>
            <w:rStyle w:val="InternetLink"/>
            <w:b/>
            <w:bCs/>
            <w:color w:val="337AB7"/>
            <w:sz w:val="23"/>
            <w:szCs w:val="23"/>
          </w:rPr>
          <w:t>definitivat.edu.ro</w:t>
        </w:r>
      </w:hyperlink>
      <w:r>
        <w:rPr>
          <w:rFonts w:eastAsia="Times New Roman" w:cs="Times New Roman"/>
          <w:b/>
          <w:bCs/>
          <w:sz w:val="23"/>
          <w:szCs w:val="23"/>
          <w:lang w:eastAsia="en-GB"/>
        </w:rPr>
        <w:t>.</w:t>
      </w:r>
    </w:p>
    <w:p>
      <w:pPr>
        <w:pStyle w:val="Normal"/>
        <w:spacing w:lineRule="auto" w:line="240" w:before="160" w:after="150"/>
        <w:rPr>
          <w:rFonts w:eastAsia="Times New Roman" w:cs="Times New Roman"/>
          <w:lang w:eastAsia="en-GB"/>
        </w:rPr>
      </w:pPr>
      <w:r>
        <w:rPr>
          <w:rFonts w:eastAsia="Times New Roman" w:cs="Times New Roman"/>
          <w:lang w:eastAsia="en-GB"/>
        </w:rPr>
      </w:r>
    </w:p>
    <w:p>
      <w:pPr>
        <w:pStyle w:val="Normal"/>
        <w:spacing w:before="160" w:after="240"/>
        <w:rPr/>
      </w:pPr>
      <w:r>
        <w:rPr/>
      </w:r>
    </w:p>
    <w:sectPr>
      <w:headerReference w:type="default" r:id="rId5"/>
      <w:footerReference w:type="default" r:id="rId6"/>
      <w:type w:val="nextPage"/>
      <w:pgSz w:w="11906" w:h="16838"/>
      <w:pgMar w:left="993" w:right="707" w:header="0" w:top="1560" w:footer="245"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egoe UI">
    <w:charset w:val="00"/>
    <w:family w:val="roman"/>
    <w:pitch w:val="variable"/>
  </w:font>
  <w:font w:name="Calibri">
    <w:charset w:val="00"/>
    <w:family w:val="roman"/>
    <w:pitch w:val="variable"/>
  </w:font>
  <w:font w:name="Book Antiqu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703" w:leader="none"/>
        <w:tab w:val="right" w:pos="9406" w:leader="none"/>
      </w:tabs>
      <w:spacing w:lineRule="auto" w:line="240" w:before="160" w:after="0"/>
      <w:rPr/>
    </w:pPr>
    <w:r>
      <w:rPr/>
    </w:r>
  </w:p>
  <w:p>
    <w:pPr>
      <w:pStyle w:val="Footer"/>
      <w:spacing w:before="0" w:after="0"/>
      <w:rPr>
        <w:b/>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142" w:leader="none"/>
        <w:tab w:val="center" w:pos="4703" w:leader="none"/>
        <w:tab w:val="right" w:pos="9406" w:leader="none"/>
      </w:tabs>
      <w:spacing w:before="160" w:after="0"/>
      <w:rPr/>
    </w:pPr>
    <w:r>
      <w:drawing>
        <wp:anchor behindDoc="1" distT="0" distB="0" distL="0" distR="0" simplePos="0" locked="0" layoutInCell="1" allowOverlap="1" relativeHeight="3">
          <wp:simplePos x="0" y="0"/>
          <wp:positionH relativeFrom="margin">
            <wp:posOffset>-1905</wp:posOffset>
          </wp:positionH>
          <wp:positionV relativeFrom="paragraph">
            <wp:posOffset>247650</wp:posOffset>
          </wp:positionV>
          <wp:extent cx="3388995" cy="746125"/>
          <wp:effectExtent l="0" t="0" r="0" b="0"/>
          <wp:wrapNone/>
          <wp:docPr id="1"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IDENTITATE.GOV.RO\Logo Ministere-20191111\Logo Ministere\13.MEC\logo MEC-albastru.png"/>
                  <pic:cNvPicPr>
                    <a:picLocks noChangeAspect="1" noChangeArrowheads="1"/>
                  </pic:cNvPicPr>
                </pic:nvPicPr>
                <pic:blipFill>
                  <a:blip r:embed="rId1"/>
                  <a:stretch>
                    <a:fillRect/>
                  </a:stretch>
                </pic:blipFill>
                <pic:spPr bwMode="auto">
                  <a:xfrm>
                    <a:off x="0" y="0"/>
                    <a:ext cx="3388995" cy="746125"/>
                  </a:xfrm>
                  <a:prstGeom prst="rect">
                    <a:avLst/>
                  </a:prstGeom>
                </pic:spPr>
              </pic:pic>
            </a:graphicData>
          </a:graphic>
        </wp:anchor>
      </w:drawing>
    </w:r>
    <w:r>
      <w:rPr/>
      <w:tab/>
    </w:r>
    <w:r>
      <w:rPr/>
      <w:tab/>
      <w:tab/>
      <w:tab/>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72bd"/>
    <w:pPr>
      <w:widowControl/>
      <w:bidi w:val="0"/>
      <w:spacing w:lineRule="auto" w:line="276" w:before="160" w:after="240"/>
      <w:jc w:val="both"/>
    </w:pPr>
    <w:rPr>
      <w:rFonts w:ascii="Trebuchet MS" w:hAnsi="Trebuchet MS" w:cs="Open Sans" w:eastAsia="Trebuchet MS"/>
      <w:color w:val="000000"/>
      <w:kern w:val="0"/>
      <w:sz w:val="22"/>
      <w:szCs w:val="22"/>
      <w:lang w:val="ro-RO" w:eastAsia="en-US" w:bidi="ar-SA"/>
    </w:rPr>
  </w:style>
  <w:style w:type="paragraph" w:styleId="Heading1">
    <w:name w:val="Heading 1"/>
    <w:basedOn w:val="Normal"/>
    <w:link w:val="Heading1Char"/>
    <w:uiPriority w:val="9"/>
    <w:qFormat/>
    <w:rsid w:val="00de05b4"/>
    <w:pPr>
      <w:spacing w:lineRule="auto" w:line="240" w:beforeAutospacing="1" w:afterAutospacing="1"/>
      <w:jc w:val="left"/>
      <w:outlineLvl w:val="0"/>
    </w:pPr>
    <w:rPr>
      <w:rFonts w:ascii="Times New Roman" w:hAnsi="Times New Roman" w:eastAsia="Times New Roman" w:cs="Times New Roman"/>
      <w:b/>
      <w:bCs/>
      <w:color w:val="auto"/>
      <w:kern w:val="2"/>
      <w:sz w:val="48"/>
      <w:szCs w:val="48"/>
      <w:lang w:val="en-GB" w:eastAsia="en-GB"/>
    </w:rPr>
  </w:style>
  <w:style w:type="paragraph" w:styleId="Heading3">
    <w:name w:val="Heading 3"/>
    <w:basedOn w:val="Normal"/>
    <w:next w:val="Normal"/>
    <w:link w:val="Heading3Char"/>
    <w:uiPriority w:val="9"/>
    <w:semiHidden/>
    <w:unhideWhenUsed/>
    <w:qFormat/>
    <w:rsid w:val="008a5b30"/>
    <w:pPr>
      <w:keepNext w:val="true"/>
      <w:keepLines/>
      <w:spacing w:before="40" w:after="0"/>
      <w:outlineLvl w:val="2"/>
    </w:pPr>
    <w:rPr>
      <w:rFonts w:ascii="Trebuchet MS" w:hAnsi="Trebuchet MS"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745d4"/>
    <w:rPr/>
  </w:style>
  <w:style w:type="character" w:styleId="FooterChar" w:customStyle="1">
    <w:name w:val="Footer Char"/>
    <w:basedOn w:val="DefaultParagraphFont"/>
    <w:link w:val="Footer"/>
    <w:uiPriority w:val="99"/>
    <w:qFormat/>
    <w:rsid w:val="000745d4"/>
    <w:rPr/>
  </w:style>
  <w:style w:type="character" w:styleId="FooterChar1" w:customStyle="1">
    <w:name w:val="footer Char"/>
    <w:basedOn w:val="FooterChar"/>
    <w:link w:val="Footer1"/>
    <w:qFormat/>
    <w:rsid w:val="009772bd"/>
    <w:rPr>
      <w:rFonts w:ascii="Trebuchet MS" w:hAnsi="Trebuchet MS" w:cs="Open Sans"/>
      <w:color w:val="000000"/>
      <w:sz w:val="14"/>
      <w:szCs w:val="14"/>
      <w:lang w:val="ro-RO"/>
    </w:rPr>
  </w:style>
  <w:style w:type="character" w:styleId="InternetLink">
    <w:name w:val="Internet Link"/>
    <w:basedOn w:val="DefaultParagraphFont"/>
    <w:uiPriority w:val="99"/>
    <w:unhideWhenUsed/>
    <w:rsid w:val="002a06eb"/>
    <w:rPr>
      <w:color w:val="0563C1" w:themeColor="hyperlink"/>
      <w:u w:val="single"/>
    </w:rPr>
  </w:style>
  <w:style w:type="character" w:styleId="BalloonTextChar" w:customStyle="1">
    <w:name w:val="Balloon Text Char"/>
    <w:basedOn w:val="DefaultParagraphFont"/>
    <w:link w:val="BalloonText"/>
    <w:uiPriority w:val="99"/>
    <w:semiHidden/>
    <w:qFormat/>
    <w:rsid w:val="00cc767d"/>
    <w:rPr>
      <w:rFonts w:ascii="Segoe UI" w:hAnsi="Segoe UI" w:cs="Segoe UI"/>
      <w:color w:val="000000"/>
      <w:sz w:val="18"/>
      <w:szCs w:val="18"/>
      <w:lang w:val="ro-RO"/>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styleId="Heading1Char" w:customStyle="1">
    <w:name w:val="Heading 1 Char"/>
    <w:basedOn w:val="DefaultParagraphFont"/>
    <w:link w:val="Heading1"/>
    <w:uiPriority w:val="9"/>
    <w:qFormat/>
    <w:rsid w:val="00de05b4"/>
    <w:rPr>
      <w:rFonts w:ascii="Times New Roman" w:hAnsi="Times New Roman" w:eastAsia="Times New Roman" w:cs="Times New Roman"/>
      <w:b/>
      <w:bCs/>
      <w:kern w:val="2"/>
      <w:sz w:val="48"/>
      <w:szCs w:val="48"/>
      <w:lang w:val="en-GB" w:eastAsia="en-GB"/>
    </w:rPr>
  </w:style>
  <w:style w:type="character" w:styleId="FollowedHyperlink">
    <w:name w:val="FollowedHyperlink"/>
    <w:basedOn w:val="DefaultParagraphFont"/>
    <w:uiPriority w:val="99"/>
    <w:semiHidden/>
    <w:unhideWhenUsed/>
    <w:qFormat/>
    <w:rsid w:val="007862dd"/>
    <w:rPr>
      <w:color w:val="954F72" w:themeColor="followedHyperlink"/>
      <w:u w:val="single"/>
    </w:rPr>
  </w:style>
  <w:style w:type="character" w:styleId="BodyTextChar" w:customStyle="1">
    <w:name w:val="Body Text Char"/>
    <w:basedOn w:val="DefaultParagraphFont"/>
    <w:link w:val="BodyText"/>
    <w:uiPriority w:val="1"/>
    <w:qFormat/>
    <w:rsid w:val="00ea080a"/>
    <w:rPr>
      <w:rFonts w:ascii="Calibri" w:hAnsi="Calibri" w:eastAsia="" w:cs="Calibri" w:eastAsiaTheme="minorEastAsia"/>
      <w:sz w:val="20"/>
      <w:szCs w:val="20"/>
    </w:rPr>
  </w:style>
  <w:style w:type="character" w:styleId="St" w:customStyle="1">
    <w:name w:val="st"/>
    <w:basedOn w:val="DefaultParagraphFont"/>
    <w:qFormat/>
    <w:rsid w:val="001e0b8f"/>
    <w:rPr/>
  </w:style>
  <w:style w:type="character" w:styleId="Heading3Char" w:customStyle="1">
    <w:name w:val="Heading 3 Char"/>
    <w:basedOn w:val="DefaultParagraphFont"/>
    <w:link w:val="Heading3"/>
    <w:uiPriority w:val="9"/>
    <w:semiHidden/>
    <w:qFormat/>
    <w:rsid w:val="008a5b30"/>
    <w:rPr>
      <w:rFonts w:ascii="Trebuchet MS" w:hAnsi="Trebuchet MS" w:eastAsia="" w:cs="" w:asciiTheme="majorHAnsi" w:cstheme="majorBidi" w:eastAsiaTheme="majorEastAsia" w:hAnsiTheme="majorHAnsi"/>
      <w:color w:val="1F4D78" w:themeColor="accent1" w:themeShade="7f"/>
      <w:sz w:val="24"/>
      <w:szCs w:val="24"/>
      <w:lang w:val="ro-RO"/>
    </w:rPr>
  </w:style>
  <w:style w:type="character" w:styleId="Bodytext2" w:customStyle="1">
    <w:name w:val="Body text (2)"/>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4"/>
      <w:szCs w:val="24"/>
      <w:u w:val="none"/>
      <w:lang w:val="ro-RO" w:eastAsia="ro-RO" w:bidi="ro-RO"/>
    </w:rPr>
  </w:style>
  <w:style w:type="character" w:styleId="Bodytext213pt" w:customStyle="1">
    <w:name w:val="Body text (2) + 13 pt"/>
    <w:basedOn w:val="DefaultParagraphFont"/>
    <w:qFormat/>
    <w:rsid w:val="00b32a69"/>
    <w:rPr>
      <w:rFonts w:ascii="Book Antiqua" w:hAnsi="Book Antiqua" w:eastAsia="Book Antiqua" w:cs="Book Antiqua"/>
      <w:b/>
      <w:bCs/>
      <w:i w:val="false"/>
      <w:iCs w:val="false"/>
      <w:caps w:val="false"/>
      <w:smallCaps w:val="false"/>
      <w:strike w:val="false"/>
      <w:dstrike w:val="false"/>
      <w:color w:val="000000"/>
      <w:spacing w:val="0"/>
      <w:w w:val="100"/>
      <w:sz w:val="26"/>
      <w:szCs w:val="26"/>
      <w:u w:val="none"/>
      <w:lang w:val="ro-RO" w:eastAsia="ro-RO" w:bidi="ro-RO"/>
    </w:rPr>
  </w:style>
  <w:style w:type="character" w:styleId="Bodytext21" w:customStyle="1">
    <w:name w:val="Body text (2)_"/>
    <w:basedOn w:val="DefaultParagraphFont"/>
    <w:qFormat/>
    <w:rsid w:val="00467f07"/>
    <w:rPr>
      <w:rFonts w:ascii="Book Antiqua" w:hAnsi="Book Antiqua" w:eastAsia="Book Antiqua" w:cs="Book Antiqua"/>
      <w:b/>
      <w:bCs/>
      <w:i w:val="false"/>
      <w:iCs w:val="false"/>
      <w:caps w:val="false"/>
      <w:smallCaps w:val="false"/>
      <w:strike w:val="false"/>
      <w:dstrike w:val="false"/>
      <w:u w:val="none"/>
    </w:rPr>
  </w:style>
  <w:style w:type="character" w:styleId="ListLabel1">
    <w:name w:val="ListLabel 1"/>
    <w:qFormat/>
    <w:rPr>
      <w:rFonts w:eastAsia="Trebuchet M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rebuchet MS"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sz w:val="17"/>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Trebuchet MS" w:cs="Open Sans"/>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Trebuchet MS" w:cs="Open San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Trebuchet MS" w:cs="Open San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Trebuchet MS" w:cs="Open San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rFonts w:eastAsia="Book Antiqua" w:cs="Book Antiqua"/>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eastAsia="Book Antiqua" w:cs="Book Antiqua"/>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eastAsia="Book Antiqua" w:cs="Book Antiqua"/>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Book Antiqua" w:cs="Book Antiqua"/>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eastAsia="Trebuchet MS" w:cs="Arial"/>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eastAsia="Trebuchet MS" w:cs="Open Sans"/>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eastAsia="Trebuchet MS" w:cs="Open Sans"/>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eastAsia="Trebuchet MS" w:cs="Open Sans"/>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eastAsia="Trebuchet MS" w:cs="Open Sans"/>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color w:val="337AB7"/>
      <w:sz w:val="23"/>
      <w:szCs w:val="23"/>
    </w:rPr>
  </w:style>
  <w:style w:type="character" w:styleId="ListLabel165">
    <w:name w:val="ListLabel 165"/>
    <w:qFormat/>
    <w:rPr>
      <w:b/>
      <w:bCs/>
      <w:color w:val="337AB7"/>
      <w:sz w:val="23"/>
      <w:szCs w:val="23"/>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ea080a"/>
    <w:pPr>
      <w:widowControl w:val="false"/>
      <w:spacing w:lineRule="auto" w:line="240" w:before="0" w:after="0"/>
      <w:jc w:val="left"/>
    </w:pPr>
    <w:rPr>
      <w:rFonts w:ascii="Calibri" w:hAnsi="Calibri" w:eastAsia="" w:cs="Calibri" w:eastAsiaTheme="minorEastAsia"/>
      <w:color w:val="auto"/>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0745d4"/>
    <w:pPr>
      <w:tabs>
        <w:tab w:val="clear" w:pos="720"/>
        <w:tab w:val="center" w:pos="4703" w:leader="none"/>
        <w:tab w:val="right" w:pos="9406" w:leader="none"/>
      </w:tabs>
      <w:spacing w:lineRule="auto" w:line="240" w:before="160" w:after="0"/>
    </w:pPr>
    <w:rPr/>
  </w:style>
  <w:style w:type="paragraph" w:styleId="Footer">
    <w:name w:val="Footer"/>
    <w:basedOn w:val="Normal"/>
    <w:link w:val="FooterChar"/>
    <w:uiPriority w:val="99"/>
    <w:unhideWhenUsed/>
    <w:rsid w:val="000745d4"/>
    <w:pPr>
      <w:tabs>
        <w:tab w:val="clear" w:pos="720"/>
        <w:tab w:val="center" w:pos="4703" w:leader="none"/>
        <w:tab w:val="right" w:pos="9406" w:leader="none"/>
      </w:tabs>
      <w:spacing w:lineRule="auto" w:line="240" w:before="160" w:after="0"/>
    </w:pPr>
    <w:rPr/>
  </w:style>
  <w:style w:type="paragraph" w:styleId="NormalWeb">
    <w:name w:val="Normal (Web)"/>
    <w:basedOn w:val="Normal"/>
    <w:uiPriority w:val="99"/>
    <w:unhideWhenUsed/>
    <w:qFormat/>
    <w:rsid w:val="002328dd"/>
    <w:pPr>
      <w:spacing w:lineRule="auto" w:line="240" w:beforeAutospacing="1" w:afterAutospacing="1"/>
    </w:pPr>
    <w:rPr>
      <w:rFonts w:ascii="Times New Roman" w:hAnsi="Times New Roman" w:eastAsia="Times New Roman" w:cs="Times New Roman"/>
      <w:sz w:val="24"/>
      <w:szCs w:val="24"/>
    </w:rPr>
  </w:style>
  <w:style w:type="paragraph" w:styleId="Footer1" w:customStyle="1">
    <w:name w:val="Footer1"/>
    <w:basedOn w:val="Footer"/>
    <w:link w:val="footerChar0"/>
    <w:qFormat/>
    <w:rsid w:val="009772bd"/>
    <w:pPr>
      <w:spacing w:before="0" w:after="0"/>
    </w:pPr>
    <w:rPr>
      <w:sz w:val="14"/>
      <w:szCs w:val="14"/>
    </w:rPr>
  </w:style>
  <w:style w:type="paragraph" w:styleId="BalloonText">
    <w:name w:val="Balloon Text"/>
    <w:basedOn w:val="Normal"/>
    <w:link w:val="BalloonTextChar"/>
    <w:uiPriority w:val="99"/>
    <w:semiHidden/>
    <w:unhideWhenUsed/>
    <w:qFormat/>
    <w:rsid w:val="00cc767d"/>
    <w:pPr>
      <w:spacing w:lineRule="auto" w:line="240" w:before="0" w:after="0"/>
    </w:pPr>
    <w:rPr>
      <w:rFonts w:ascii="Segoe UI" w:hAnsi="Segoe UI" w:cs="Segoe UI"/>
      <w:sz w:val="18"/>
      <w:szCs w:val="18"/>
    </w:rPr>
  </w:style>
  <w:style w:type="paragraph" w:styleId="Rtejustify" w:customStyle="1">
    <w:name w:val="rtejustify"/>
    <w:basedOn w:val="Normal"/>
    <w:qFormat/>
    <w:rsid w:val="008433ba"/>
    <w:pPr>
      <w:spacing w:lineRule="auto" w:line="240" w:beforeAutospacing="1" w:afterAutospacing="1"/>
      <w:jc w:val="left"/>
    </w:pPr>
    <w:rPr>
      <w:rFonts w:ascii="Times New Roman" w:hAnsi="Times New Roman" w:eastAsia="Times New Roman" w:cs="Times New Roman"/>
      <w:color w:val="auto"/>
      <w:sz w:val="24"/>
      <w:szCs w:val="24"/>
      <w:lang w:val="en-GB" w:eastAsia="en-GB"/>
    </w:rPr>
  </w:style>
  <w:style w:type="paragraph" w:styleId="ListParagraph">
    <w:name w:val="List Paragraph"/>
    <w:basedOn w:val="Normal"/>
    <w:uiPriority w:val="34"/>
    <w:qFormat/>
    <w:rsid w:val="00de2648"/>
    <w:pPr>
      <w:spacing w:lineRule="auto" w:line="252" w:before="0" w:after="160"/>
      <w:ind w:left="720" w:hanging="0"/>
      <w:contextualSpacing/>
      <w:jc w:val="left"/>
    </w:pPr>
    <w:rPr>
      <w:rFonts w:ascii="Calibri" w:hAnsi="Calibri" w:cs="Calibri"/>
      <w:color w:val="auto"/>
      <w:lang w:val="en-GB" w:eastAsia="en-GB"/>
    </w:rPr>
  </w:style>
  <w:style w:type="paragraph" w:styleId="NoSpacing">
    <w:name w:val="No Spacing"/>
    <w:uiPriority w:val="1"/>
    <w:qFormat/>
    <w:rsid w:val="00467f07"/>
    <w:pPr>
      <w:widowControl/>
      <w:bidi w:val="0"/>
      <w:spacing w:lineRule="auto" w:line="240" w:before="0" w:after="0"/>
      <w:jc w:val="both"/>
    </w:pPr>
    <w:rPr>
      <w:rFonts w:ascii="Trebuchet MS" w:hAnsi="Trebuchet MS" w:cs="Open Sans" w:eastAsia="Trebuchet MS"/>
      <w:color w:val="000000"/>
      <w:kern w:val="0"/>
      <w:sz w:val="22"/>
      <w:szCs w:val="22"/>
      <w:lang w:val="ro-RO"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biecte2016.edu.ro/2016/" TargetMode="External"/><Relationship Id="rId3" Type="http://schemas.openxmlformats.org/officeDocument/2006/relationships/hyperlink" Target="https://g/Drivers/Desktop/definitivat.edu.ro" TargetMode="External"/><Relationship Id="rId4" Type="http://schemas.openxmlformats.org/officeDocument/2006/relationships/hyperlink" Target="https://g/Drivers/Desktop/definitivat.edu.ro"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9B16-6771-4ABA-970A-8EF4AC65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Ultra_Office/6.2.3.2$Windows_x86 LibreOffice_project/</Application>
  <Pages>2</Pages>
  <Words>652</Words>
  <Characters>3707</Characters>
  <CharactersWithSpaces>4362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2020-05-21T15:17:00Z</dcterms:created>
  <dc:creator/>
  <dc:description/>
  <dc:language>en-US</dc:language>
  <cp:lastModifiedBy/>
  <dcterms:modified xsi:type="dcterms:W3CDTF">2020-07-21T13:28:08Z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