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150"/>
        <w:jc w:val="right"/>
        <w:rPr>
          <w:rFonts w:ascii="Trebuchet MS" w:hAnsi="Trebuchet MS" w:eastAsia="Times New Roman" w:cs="Arial" w:asciiTheme="majorHAnsi" w:hAnsiTheme="majorHAnsi"/>
          <w:b/>
          <w:b/>
          <w:color w:val="0070C0"/>
          <w:sz w:val="24"/>
          <w:szCs w:val="24"/>
          <w:lang w:eastAsia="en-GB"/>
        </w:rPr>
      </w:pPr>
      <w:r>
        <w:rPr>
          <w:rFonts w:eastAsia="Times New Roman" w:cs="Arial"/>
          <w:b/>
          <w:color w:val="0070C0"/>
          <w:sz w:val="24"/>
          <w:szCs w:val="24"/>
          <w:lang w:eastAsia="en-GB"/>
        </w:rPr>
        <w:t>11.08.2020</w:t>
      </w:r>
    </w:p>
    <w:p>
      <w:pPr>
        <w:pStyle w:val="Normal"/>
        <w:numPr>
          <w:ilvl w:val="0"/>
          <w:numId w:val="0"/>
        </w:numPr>
        <w:pBdr>
          <w:bottom w:val="single" w:sz="6" w:space="2" w:color="B9D2E3"/>
        </w:pBdr>
        <w:shd w:val="clear" w:color="auto" w:fill="FFFFFF"/>
        <w:spacing w:lineRule="auto" w:line="360" w:before="0" w:after="0"/>
        <w:ind w:left="75" w:right="75" w:hanging="0"/>
        <w:jc w:val="center"/>
        <w:outlineLvl w:val="0"/>
        <w:rPr>
          <w:rFonts w:ascii="Trebuchet MS" w:hAnsi="Trebuchet MS" w:eastAsia="Times New Roman" w:cs="Tahoma" w:asciiTheme="majorHAnsi" w:hAnsiTheme="majorHAnsi"/>
          <w:b/>
          <w:b/>
          <w:bCs/>
          <w:color w:val="0070C0"/>
          <w:kern w:val="2"/>
          <w:sz w:val="24"/>
          <w:szCs w:val="24"/>
          <w:lang w:eastAsia="en-GB"/>
        </w:rPr>
      </w:pPr>
      <w:r>
        <w:rPr>
          <w:rFonts w:eastAsia="Times New Roman" w:cs="Tahoma"/>
          <w:b/>
          <w:bCs/>
          <w:color w:val="0070C0"/>
          <w:kern w:val="2"/>
          <w:sz w:val="26"/>
          <w:szCs w:val="26"/>
          <w:lang w:eastAsia="en-GB"/>
        </w:rPr>
        <w:t>Comunicat de presă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60,62%: rata de promovare a concursului național de titularizare  în judeţul GORJ- sesiunea 2020 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6"/>
          <w:szCs w:val="26"/>
        </w:rPr>
        <w:t>(după soluționarea contestațiilor)</w:t>
      </w:r>
    </w:p>
    <w:p>
      <w:pPr>
        <w:pStyle w:val="Normal"/>
        <w:spacing w:lineRule="auto" w:line="240" w:before="160" w:after="150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GB"/>
        </w:rPr>
        <w:t xml:space="preserve">În urma reevaluării lucrărilor contestate la proba scrisă din cadrul concursului național pentru ocuparea posturilor didactice din învățământul preuniversitar, în judeţul GORJ rata de promovare a crescut la </w:t>
      </w:r>
      <w:r>
        <w:rPr>
          <w:rFonts w:eastAsia="Times New Roman" w:cs="Times New Roman"/>
          <w:b/>
          <w:bCs/>
          <w:sz w:val="26"/>
          <w:szCs w:val="26"/>
          <w:lang w:eastAsia="en-GB"/>
        </w:rPr>
        <w:t xml:space="preserve">60,62%,  față de cea inițială (58,36 %). </w:t>
      </w:r>
    </w:p>
    <w:p>
      <w:pPr>
        <w:pStyle w:val="Normal"/>
        <w:spacing w:lineRule="auto" w:line="240" w:before="160" w:after="150"/>
        <w:rPr/>
      </w:pPr>
      <w:r>
        <w:rPr>
          <w:rStyle w:val="Strong"/>
          <w:rFonts w:cs="Arial" w:ascii="Arial" w:hAnsi="Arial"/>
          <w:color w:val="333333"/>
          <w:sz w:val="26"/>
          <w:szCs w:val="26"/>
          <w:shd w:fill="FFFFFF" w:val="clear"/>
        </w:rPr>
        <w:t>În cazul a 55 de contestații,</w:t>
      </w:r>
      <w:r>
        <w:rPr>
          <w:rFonts w:cs="Arial" w:ascii="Arial" w:hAnsi="Arial"/>
          <w:color w:val="333333"/>
          <w:sz w:val="26"/>
          <w:szCs w:val="26"/>
          <w:shd w:fill="FFFFFF" w:val="clear"/>
        </w:rPr>
        <w:t> </w:t>
      </w:r>
      <w:r>
        <w:rPr>
          <w:rStyle w:val="Strong"/>
          <w:rFonts w:cs="Arial" w:ascii="Arial" w:hAnsi="Arial"/>
          <w:color w:val="333333"/>
          <w:sz w:val="26"/>
          <w:szCs w:val="26"/>
          <w:shd w:fill="FFFFFF" w:val="clear"/>
        </w:rPr>
        <w:t>notele au fost modificate</w:t>
      </w:r>
      <w:r>
        <w:rPr>
          <w:rFonts w:cs="Arial" w:ascii="Arial" w:hAnsi="Arial"/>
          <w:color w:val="333333"/>
          <w:sz w:val="26"/>
          <w:szCs w:val="26"/>
          <w:shd w:fill="FFFFFF" w:val="clear"/>
        </w:rPr>
        <w:t xml:space="preserve"> astfel: 5 lucrări  sub nota 5 au fost mărite, iar 8 lucrări sub  nota 7 contestate au devenit titularizabile. </w:t>
      </w:r>
    </w:p>
    <w:p>
      <w:pPr>
        <w:pStyle w:val="Normal"/>
        <w:spacing w:lineRule="auto" w:line="240" w:before="160" w:after="150"/>
        <w:rPr/>
      </w:pPr>
      <w:r>
        <w:rPr>
          <w:rFonts w:eastAsia="Times New Roman" w:cs="Times New Roman" w:ascii="Arial" w:hAnsi="Arial"/>
          <w:color w:val="333333"/>
          <w:sz w:val="26"/>
          <w:szCs w:val="26"/>
          <w:shd w:fill="FFFFFF" w:val="clear"/>
          <w:lang w:eastAsia="en-GB"/>
        </w:rPr>
        <w:t>87 de candidaţi au obţinut note între 5 şi 7 (24,64%), iar 2</w:t>
      </w:r>
      <w:r>
        <w:rPr>
          <w:rFonts w:eastAsia="Times New Roman" w:cs="Times New Roman" w:ascii="Arial" w:hAnsi="Arial"/>
          <w:color w:val="333333"/>
          <w:sz w:val="26"/>
          <w:szCs w:val="26"/>
          <w:shd w:fill="FFFFFF" w:val="clear"/>
          <w:lang w:eastAsia="en-GB"/>
        </w:rPr>
        <w:t>14</w:t>
      </w:r>
      <w:r>
        <w:rPr>
          <w:rFonts w:eastAsia="Times New Roman" w:cs="Times New Roman" w:ascii="Arial" w:hAnsi="Arial"/>
          <w:color w:val="333333"/>
          <w:sz w:val="26"/>
          <w:szCs w:val="26"/>
          <w:shd w:fill="FFFFFF" w:val="clear"/>
          <w:lang w:eastAsia="en-GB"/>
        </w:rPr>
        <w:t xml:space="preserve"> candidaţi au obţinut note peste 7 (60,62%). În total, în urma concursului naţional, un număr de 301 candidaţi vor avea dreptul să predea în calitate de profesor calificat titular sau suplinitor. 52 de candidaţi au obţinut note sub 5. </w:t>
      </w:r>
    </w:p>
    <w:p>
      <w:pPr>
        <w:pStyle w:val="Normal"/>
        <w:spacing w:lineRule="auto" w:line="240" w:before="160" w:after="150"/>
        <w:rPr>
          <w:rStyle w:val="Strong"/>
          <w:rFonts w:cs="Arial"/>
          <w:color w:val="auto"/>
          <w:sz w:val="26"/>
          <w:szCs w:val="26"/>
          <w:highlight w:val="white"/>
        </w:rPr>
      </w:pPr>
      <w:r>
        <w:rPr>
          <w:rFonts w:cs="Arial"/>
          <w:color w:val="auto"/>
          <w:sz w:val="26"/>
          <w:szCs w:val="26"/>
          <w:highlight w:val="white"/>
        </w:rPr>
      </w:r>
    </w:p>
    <w:p>
      <w:pPr>
        <w:pStyle w:val="Normal"/>
        <w:spacing w:lineRule="auto" w:line="240" w:before="160" w:after="150"/>
        <w:rPr>
          <w:rFonts w:cs="Arial"/>
          <w:color w:val="auto"/>
          <w:sz w:val="23"/>
          <w:szCs w:val="23"/>
          <w:highlight w:val="white"/>
        </w:rPr>
      </w:pPr>
      <w:r>
        <w:rPr>
          <w:rFonts w:cs="Arial"/>
          <w:color w:val="auto"/>
          <w:sz w:val="26"/>
          <w:szCs w:val="26"/>
          <w:shd w:fill="FFFFFF" w:val="clear"/>
        </w:rPr>
        <w:t>Pentru angajarea pe perioadă nedeterminată (titularizare), candidații trebuie să obțină la proba scrisă minimum nota 7 (șapte), iar pentru angajarea pe perioadă determinată (suplinire), minimum nota 5 (cinci).</w:t>
      </w:r>
    </w:p>
    <w:p>
      <w:pPr>
        <w:pStyle w:val="Normal"/>
        <w:shd w:val="clear" w:color="auto" w:fill="FFFFFF"/>
        <w:spacing w:lineRule="auto" w:line="240" w:before="160" w:after="150"/>
        <w:rPr>
          <w:sz w:val="26"/>
          <w:szCs w:val="26"/>
        </w:rPr>
      </w:pPr>
      <w:r>
        <w:rPr>
          <w:rFonts w:eastAsia="Times New Roman" w:cs="Arial"/>
          <w:color w:val="auto"/>
          <w:sz w:val="26"/>
          <w:szCs w:val="26"/>
          <w:lang w:eastAsia="en-GB"/>
        </w:rPr>
        <w:t>Repartizarea candidaților pe posturile didactice de predare vacante, publicate pentru angajare pe perioadă nedeterminată, în ordinea descrescătoare a notelor obținute la proba scrisă, se realizează în ședință publică , organizată de către inspectoraul școlar, în perioada 12 - 14 august.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color w:val="333333"/>
          <w:sz w:val="26"/>
          <w:szCs w:val="26"/>
          <w:lang w:eastAsia="en-GB"/>
        </w:rPr>
        <w:t xml:space="preserve">Detalii suplimentare sunt disponibile atât </w:t>
      </w:r>
      <w:r>
        <w:rPr>
          <w:rFonts w:eastAsia="Times New Roman" w:cs="Times New Roman"/>
          <w:sz w:val="26"/>
          <w:szCs w:val="26"/>
          <w:lang w:eastAsia="en-GB"/>
        </w:rPr>
        <w:t>pe site-ul </w:t>
      </w:r>
      <w:hyperlink r:id="rId2">
        <w:r>
          <w:rPr>
            <w:rStyle w:val="ListLabel212"/>
            <w:rFonts w:eastAsia="Times New Roman" w:cs="Times New Roman"/>
            <w:color w:val="337AB7"/>
            <w:sz w:val="26"/>
            <w:szCs w:val="26"/>
            <w:u w:val="single"/>
            <w:lang w:eastAsia="en-GB"/>
          </w:rPr>
          <w:t>titularizare.edu.ro</w:t>
        </w:r>
      </w:hyperlink>
      <w:r>
        <w:rPr>
          <w:rFonts w:eastAsia="Times New Roman" w:cs="Times New Roman"/>
          <w:sz w:val="26"/>
          <w:szCs w:val="26"/>
          <w:lang w:eastAsia="en-GB"/>
        </w:rPr>
        <w:t xml:space="preserve">, unde Ministerul Educației și Cercetării a publicat astăzi, 11 august, la ora 11:00. </w:t>
      </w:r>
    </w:p>
    <w:sectPr>
      <w:headerReference w:type="default" r:id="rId3"/>
      <w:footerReference w:type="default" r:id="rId4"/>
      <w:type w:val="nextPage"/>
      <w:pgSz w:w="11906" w:h="16838"/>
      <w:pgMar w:left="993" w:right="707" w:header="0" w:top="1560" w:footer="245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703" w:leader="none"/>
        <w:tab w:val="right" w:pos="9406" w:leader="none"/>
      </w:tabs>
      <w:spacing w:lineRule="auto" w:line="240" w:before="160" w:after="0"/>
      <w:rPr/>
    </w:pPr>
    <w:r>
      <w:rPr/>
    </w:r>
  </w:p>
  <w:p>
    <w:pPr>
      <w:pStyle w:val="Footer"/>
      <w:spacing w:before="0" w:after="0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left" w:pos="142" w:leader="none"/>
        <w:tab w:val="center" w:pos="4703" w:leader="none"/>
        <w:tab w:val="right" w:pos="9406" w:leader="none"/>
      </w:tabs>
      <w:spacing w:before="160" w:after="0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995" cy="746125"/>
          <wp:effectExtent l="0" t="0" r="0" b="0"/>
          <wp:wrapNone/>
          <wp:docPr id="1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ab/>
      <w:tab/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72bd"/>
    <w:pPr>
      <w:widowControl/>
      <w:bidi w:val="0"/>
      <w:spacing w:lineRule="auto" w:line="276" w:before="160" w:after="240"/>
      <w:jc w:val="both"/>
    </w:pPr>
    <w:rPr>
      <w:rFonts w:ascii="Trebuchet MS" w:hAnsi="Trebuchet MS" w:eastAsia="Trebuchet MS" w:cs="Open Sans"/>
      <w:color w:val="000000"/>
      <w:kern w:val="0"/>
      <w:sz w:val="22"/>
      <w:szCs w:val="22"/>
      <w:lang w:val="ro-RO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lineRule="auto" w:line="240" w:beforeAutospacing="1" w:afterAutospacing="1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 w:val="true"/>
      <w:keepLines/>
      <w:spacing w:before="40" w:after="0"/>
      <w:outlineLvl w:val="2"/>
    </w:pPr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 w:val="true"/>
      <w:keepLines/>
      <w:spacing w:before="40" w:after="0"/>
      <w:outlineLvl w:val="4"/>
    </w:pPr>
    <w:rPr>
      <w:rFonts w:ascii="Trebuchet MS" w:hAnsi="Trebuchet MS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745d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745d4"/>
    <w:rPr/>
  </w:style>
  <w:style w:type="character" w:styleId="FooterChar1" w:customStyle="1">
    <w:name w:val="footer Char"/>
    <w:basedOn w:val="FooterChar"/>
    <w:link w:val="Footer1"/>
    <w:qFormat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InternetLink">
    <w:name w:val="Internet 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c767d"/>
    <w:rPr>
      <w:rFonts w:ascii="Segoe UI" w:hAnsi="Segoe UI" w:cs="Segoe UI"/>
      <w:color w:val="000000"/>
      <w:sz w:val="18"/>
      <w:szCs w:val="18"/>
      <w:lang w:val="ro-RO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de05b4"/>
    <w:rPr>
      <w:rFonts w:ascii="Times New Roman" w:hAnsi="Times New Roman" w:eastAsia="Times New Roman" w:cs="Times New Roman"/>
      <w:b/>
      <w:bCs/>
      <w:kern w:val="2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862dd"/>
    <w:rPr>
      <w:color w:val="954F72" w:themeColor="followedHyperlink"/>
      <w:u w:val="single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ea080a"/>
    <w:rPr>
      <w:rFonts w:ascii="Calibri" w:hAnsi="Calibri" w:eastAsia="" w:cs="Calibri" w:eastAsiaTheme="minorEastAsia"/>
      <w:sz w:val="20"/>
      <w:szCs w:val="20"/>
    </w:rPr>
  </w:style>
  <w:style w:type="character" w:styleId="St" w:customStyle="1">
    <w:name w:val="st"/>
    <w:basedOn w:val="DefaultParagraphFont"/>
    <w:qFormat/>
    <w:rsid w:val="001e0b8f"/>
    <w:rPr/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a5b30"/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  <w:lang w:val="ro-RO"/>
    </w:rPr>
  </w:style>
  <w:style w:type="character" w:styleId="Bodytext2" w:customStyle="1">
    <w:name w:val="Body text (2)"/>
    <w:basedOn w:val="DefaultParagraphFont"/>
    <w:qFormat/>
    <w:rsid w:val="00b32a69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o-RO" w:eastAsia="ro-RO" w:bidi="ro-RO"/>
    </w:rPr>
  </w:style>
  <w:style w:type="character" w:styleId="Bodytext213pt" w:customStyle="1">
    <w:name w:val="Body text (2) + 13 pt"/>
    <w:basedOn w:val="DefaultParagraphFont"/>
    <w:qFormat/>
    <w:rsid w:val="00b32a69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o-RO" w:eastAsia="ro-RO" w:bidi="ro-RO"/>
    </w:rPr>
  </w:style>
  <w:style w:type="character" w:styleId="Bodytext21" w:customStyle="1">
    <w:name w:val="Body text (2)_"/>
    <w:basedOn w:val="DefaultParagraphFont"/>
    <w:qFormat/>
    <w:rsid w:val="00467f07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10c76"/>
    <w:rPr>
      <w:rFonts w:ascii="Trebuchet MS" w:hAnsi="Trebuchet MS" w:eastAsia="" w:cs="" w:asciiTheme="majorHAnsi" w:cstheme="majorBidi" w:eastAsiaTheme="majorEastAsia" w:hAnsiTheme="majorHAnsi"/>
      <w:color w:val="2E74B5" w:themeColor="accent1" w:themeShade="bf"/>
      <w:lang w:val="ro-RO"/>
    </w:rPr>
  </w:style>
  <w:style w:type="character" w:styleId="ListLabel1">
    <w:name w:val="ListLabel 1"/>
    <w:qFormat/>
    <w:rPr>
      <w:rFonts w:eastAsia="Trebuchet MS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rebuchet MS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Times New Roman" w:cs="Times New Roman"/>
      <w:sz w:val="17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Trebuchet MS" w:cs="Open Sans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rebuchet MS" w:cs="Open San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Trebuchet MS" w:cs="Open Sans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Trebuchet MS" w:cs="Open San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rFonts w:eastAsia="Book Antiqua" w:cs="Book Antiqua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eastAsia="Book Antiqua" w:cs="Book Antiqua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eastAsia="Book Antiqua" w:cs="Book Antiqua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eastAsia="Book Antiqua" w:cs="Book Antiqua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eastAsia="Trebuchet MS" w:cs="Aria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eastAsia="Trebuchet MS" w:cs="Open Sans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eastAsia="Trebuchet MS" w:cs="Open San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eastAsia="Trebuchet MS" w:cs="Open Sans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eastAsia="Trebuchet MS" w:cs="Open Sans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u w:val="none"/>
    </w:rPr>
  </w:style>
  <w:style w:type="character" w:styleId="ListLabel100">
    <w:name w:val="ListLabel 100"/>
    <w:qFormat/>
    <w:rPr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u w:val="none"/>
    </w:rPr>
  </w:style>
  <w:style w:type="character" w:styleId="ListLabel119">
    <w:name w:val="ListLabel 119"/>
    <w:qFormat/>
    <w:rPr>
      <w:u w:val="none"/>
    </w:rPr>
  </w:style>
  <w:style w:type="character" w:styleId="ListLabel120">
    <w:name w:val="ListLabel 120"/>
    <w:qFormat/>
    <w:rPr>
      <w:u w:val="none"/>
    </w:rPr>
  </w:style>
  <w:style w:type="character" w:styleId="ListLabel121">
    <w:name w:val="ListLabel 121"/>
    <w:qFormat/>
    <w:rPr>
      <w:u w:val="none"/>
    </w:rPr>
  </w:style>
  <w:style w:type="character" w:styleId="ListLabel122">
    <w:name w:val="ListLabel 122"/>
    <w:qFormat/>
    <w:rPr>
      <w:u w:val="none"/>
    </w:rPr>
  </w:style>
  <w:style w:type="character" w:styleId="ListLabel123">
    <w:name w:val="ListLabel 123"/>
    <w:qFormat/>
    <w:rPr>
      <w:u w:val="none"/>
    </w:rPr>
  </w:style>
  <w:style w:type="character" w:styleId="ListLabel124">
    <w:name w:val="ListLabel 124"/>
    <w:qFormat/>
    <w:rPr>
      <w:u w:val="none"/>
    </w:rPr>
  </w:style>
  <w:style w:type="character" w:styleId="ListLabel125">
    <w:name w:val="ListLabel 125"/>
    <w:qFormat/>
    <w:rPr>
      <w:u w:val="none"/>
    </w:rPr>
  </w:style>
  <w:style w:type="character" w:styleId="ListLabel126">
    <w:name w:val="ListLabel 126"/>
    <w:qFormat/>
    <w:rPr>
      <w:u w:val="none"/>
    </w:rPr>
  </w:style>
  <w:style w:type="character" w:styleId="ListLabel127">
    <w:name w:val="ListLabel 127"/>
    <w:qFormat/>
    <w:rPr>
      <w:u w:val="none"/>
    </w:rPr>
  </w:style>
  <w:style w:type="character" w:styleId="ListLabel128">
    <w:name w:val="ListLabel 128"/>
    <w:qFormat/>
    <w:rPr>
      <w:u w:val="none"/>
    </w:rPr>
  </w:style>
  <w:style w:type="character" w:styleId="ListLabel129">
    <w:name w:val="ListLabel 129"/>
    <w:qFormat/>
    <w:rPr>
      <w:u w:val="none"/>
    </w:rPr>
  </w:style>
  <w:style w:type="character" w:styleId="ListLabel130">
    <w:name w:val="ListLabel 130"/>
    <w:qFormat/>
    <w:rPr>
      <w:u w:val="none"/>
    </w:rPr>
  </w:style>
  <w:style w:type="character" w:styleId="ListLabel131">
    <w:name w:val="ListLabel 131"/>
    <w:qFormat/>
    <w:rPr>
      <w:u w:val="none"/>
    </w:rPr>
  </w:style>
  <w:style w:type="character" w:styleId="ListLabel132">
    <w:name w:val="ListLabel 132"/>
    <w:qFormat/>
    <w:rPr>
      <w:u w:val="none"/>
    </w:rPr>
  </w:style>
  <w:style w:type="character" w:styleId="ListLabel133">
    <w:name w:val="ListLabel 133"/>
    <w:qFormat/>
    <w:rPr>
      <w:u w:val="none"/>
    </w:rPr>
  </w:style>
  <w:style w:type="character" w:styleId="ListLabel134">
    <w:name w:val="ListLabel 134"/>
    <w:qFormat/>
    <w:rPr>
      <w:u w:val="none"/>
    </w:rPr>
  </w:style>
  <w:style w:type="character" w:styleId="ListLabel135">
    <w:name w:val="ListLabel 135"/>
    <w:qFormat/>
    <w:rPr>
      <w:u w:val="none"/>
    </w:rPr>
  </w:style>
  <w:style w:type="character" w:styleId="ListLabel136">
    <w:name w:val="ListLabel 136"/>
    <w:qFormat/>
    <w:rPr>
      <w:u w:val="none"/>
    </w:rPr>
  </w:style>
  <w:style w:type="character" w:styleId="ListLabel137">
    <w:name w:val="ListLabel 137"/>
    <w:qFormat/>
    <w:rPr>
      <w:u w:val="none"/>
    </w:rPr>
  </w:style>
  <w:style w:type="character" w:styleId="ListLabel138">
    <w:name w:val="ListLabel 138"/>
    <w:qFormat/>
    <w:rPr>
      <w:u w:val="none"/>
    </w:rPr>
  </w:style>
  <w:style w:type="character" w:styleId="ListLabel139">
    <w:name w:val="ListLabel 139"/>
    <w:qFormat/>
    <w:rPr>
      <w:u w:val="none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sz w:val="20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ListLabel181">
    <w:name w:val="ListLabel 181"/>
    <w:qFormat/>
    <w:rPr>
      <w:sz w:val="20"/>
    </w:rPr>
  </w:style>
  <w:style w:type="character" w:styleId="ListLabel182">
    <w:name w:val="ListLabel 182"/>
    <w:qFormat/>
    <w:rPr>
      <w:sz w:val="20"/>
    </w:rPr>
  </w:style>
  <w:style w:type="character" w:styleId="ListLabel183">
    <w:name w:val="ListLabel 183"/>
    <w:qFormat/>
    <w:rPr>
      <w:sz w:val="20"/>
    </w:rPr>
  </w:style>
  <w:style w:type="character" w:styleId="ListLabel184">
    <w:name w:val="ListLabel 184"/>
    <w:qFormat/>
    <w:rPr>
      <w:sz w:val="20"/>
    </w:rPr>
  </w:style>
  <w:style w:type="character" w:styleId="ListLabel185">
    <w:name w:val="ListLabel 185"/>
    <w:qFormat/>
    <w:rPr>
      <w:sz w:val="20"/>
    </w:rPr>
  </w:style>
  <w:style w:type="character" w:styleId="ListLabel186">
    <w:name w:val="ListLabel 186"/>
    <w:qFormat/>
    <w:rPr>
      <w:sz w:val="20"/>
    </w:rPr>
  </w:style>
  <w:style w:type="character" w:styleId="ListLabel187">
    <w:name w:val="ListLabel 187"/>
    <w:qFormat/>
    <w:rPr>
      <w:sz w:val="20"/>
    </w:rPr>
  </w:style>
  <w:style w:type="character" w:styleId="ListLabel188">
    <w:name w:val="ListLabel 188"/>
    <w:qFormat/>
    <w:rPr>
      <w:sz w:val="20"/>
    </w:rPr>
  </w:style>
  <w:style w:type="character" w:styleId="ListLabel189">
    <w:name w:val="ListLabel 189"/>
    <w:qFormat/>
    <w:rPr>
      <w:sz w:val="20"/>
    </w:rPr>
  </w:style>
  <w:style w:type="character" w:styleId="ListLabel190">
    <w:name w:val="ListLabel 190"/>
    <w:qFormat/>
    <w:rPr>
      <w:sz w:val="20"/>
    </w:rPr>
  </w:style>
  <w:style w:type="character" w:styleId="ListLabel191">
    <w:name w:val="ListLabel 191"/>
    <w:qFormat/>
    <w:rPr>
      <w:sz w:val="20"/>
    </w:rPr>
  </w:style>
  <w:style w:type="character" w:styleId="ListLabel192">
    <w:name w:val="ListLabel 192"/>
    <w:qFormat/>
    <w:rPr>
      <w:sz w:val="20"/>
    </w:rPr>
  </w:style>
  <w:style w:type="character" w:styleId="ListLabel193">
    <w:name w:val="ListLabel 193"/>
    <w:qFormat/>
    <w:rPr>
      <w:sz w:val="20"/>
    </w:rPr>
  </w:style>
  <w:style w:type="character" w:styleId="ListLabel194">
    <w:name w:val="ListLabel 194"/>
    <w:qFormat/>
    <w:rPr>
      <w:sz w:val="20"/>
    </w:rPr>
  </w:style>
  <w:style w:type="character" w:styleId="ListLabel195">
    <w:name w:val="ListLabel 195"/>
    <w:qFormat/>
    <w:rPr>
      <w:sz w:val="20"/>
    </w:rPr>
  </w:style>
  <w:style w:type="character" w:styleId="ListLabel196">
    <w:name w:val="ListLabel 196"/>
    <w:qFormat/>
    <w:rPr>
      <w:sz w:val="20"/>
    </w:rPr>
  </w:style>
  <w:style w:type="character" w:styleId="ListLabel197">
    <w:name w:val="ListLabel 197"/>
    <w:qFormat/>
    <w:rPr>
      <w:sz w:val="20"/>
    </w:rPr>
  </w:style>
  <w:style w:type="character" w:styleId="ListLabel198">
    <w:name w:val="ListLabel 198"/>
    <w:qFormat/>
    <w:rPr>
      <w:sz w:val="20"/>
    </w:rPr>
  </w:style>
  <w:style w:type="character" w:styleId="ListLabel199">
    <w:name w:val="ListLabel 199"/>
    <w:qFormat/>
    <w:rPr>
      <w:sz w:val="20"/>
    </w:rPr>
  </w:style>
  <w:style w:type="character" w:styleId="ListLabel200">
    <w:name w:val="ListLabel 200"/>
    <w:qFormat/>
    <w:rPr>
      <w:sz w:val="20"/>
    </w:rPr>
  </w:style>
  <w:style w:type="character" w:styleId="ListLabel201">
    <w:name w:val="ListLabel 201"/>
    <w:qFormat/>
    <w:rPr>
      <w:sz w:val="20"/>
    </w:rPr>
  </w:style>
  <w:style w:type="character" w:styleId="ListLabel202">
    <w:name w:val="ListLabel 202"/>
    <w:qFormat/>
    <w:rPr>
      <w:sz w:val="20"/>
    </w:rPr>
  </w:style>
  <w:style w:type="character" w:styleId="ListLabel203">
    <w:name w:val="ListLabel 203"/>
    <w:qFormat/>
    <w:rPr>
      <w:sz w:val="20"/>
    </w:rPr>
  </w:style>
  <w:style w:type="character" w:styleId="ListLabel204">
    <w:name w:val="ListLabel 204"/>
    <w:qFormat/>
    <w:rPr>
      <w:sz w:val="20"/>
    </w:rPr>
  </w:style>
  <w:style w:type="character" w:styleId="ListLabel205">
    <w:name w:val="ListLabel 205"/>
    <w:qFormat/>
    <w:rPr>
      <w:sz w:val="20"/>
    </w:rPr>
  </w:style>
  <w:style w:type="character" w:styleId="ListLabel206">
    <w:name w:val="ListLabel 206"/>
    <w:qFormat/>
    <w:rPr>
      <w:sz w:val="20"/>
    </w:rPr>
  </w:style>
  <w:style w:type="character" w:styleId="ListLabel207">
    <w:name w:val="ListLabel 207"/>
    <w:qFormat/>
    <w:rPr>
      <w:sz w:val="20"/>
    </w:rPr>
  </w:style>
  <w:style w:type="character" w:styleId="ListLabel208">
    <w:name w:val="ListLabel 208"/>
    <w:qFormat/>
    <w:rPr>
      <w:sz w:val="20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eastAsia="Times New Roman" w:cs="Times New Roman"/>
      <w:color w:val="337AB7"/>
      <w:sz w:val="23"/>
      <w:szCs w:val="23"/>
      <w:u w:val="single"/>
      <w:lang w:eastAsia="en-GB"/>
    </w:rPr>
  </w:style>
  <w:style w:type="character" w:styleId="ListLabel213">
    <w:name w:val="ListLabel 213"/>
    <w:qFormat/>
    <w:rPr>
      <w:rFonts w:eastAsia="Times New Roman" w:cs="Arial"/>
      <w:b/>
      <w:sz w:val="23"/>
      <w:szCs w:val="23"/>
      <w:lang w:eastAsia="en-GB"/>
    </w:rPr>
  </w:style>
  <w:style w:type="character" w:styleId="ListLabel214">
    <w:name w:val="ListLabel 214"/>
    <w:qFormat/>
    <w:rPr>
      <w:rFonts w:eastAsia="Times New Roman" w:cs="Times New Roman"/>
      <w:color w:val="337AB7"/>
      <w:sz w:val="26"/>
      <w:szCs w:val="26"/>
      <w:u w:val="single"/>
      <w:lang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ea080a"/>
    <w:pPr>
      <w:widowControl w:val="false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sz w:val="20"/>
      <w:szCs w:val="20"/>
      <w:lang w:val="en-U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NormalWeb">
    <w:name w:val="Normal (Web)"/>
    <w:basedOn w:val="Normal"/>
    <w:uiPriority w:val="99"/>
    <w:unhideWhenUsed/>
    <w:qFormat/>
    <w:rsid w:val="002328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er1" w:customStyle="1">
    <w:name w:val="Footer1"/>
    <w:basedOn w:val="Footer"/>
    <w:link w:val="footerChar0"/>
    <w:qFormat/>
    <w:rsid w:val="009772bd"/>
    <w:pPr>
      <w:spacing w:before="0" w:after="0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76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tejustify" w:customStyle="1">
    <w:name w:val="rtejustify"/>
    <w:basedOn w:val="Normal"/>
    <w:qFormat/>
    <w:rsid w:val="008433ba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lineRule="auto" w:line="252" w:before="0" w:after="160"/>
      <w:ind w:left="720" w:hanging="0"/>
      <w:contextualSpacing/>
      <w:jc w:val="left"/>
    </w:pPr>
    <w:rPr>
      <w:rFonts w:ascii="Calibri" w:hAnsi="Calibri" w:cs="Calibri"/>
      <w:color w:val="auto"/>
      <w:lang w:val="en-GB" w:eastAsia="en-GB"/>
    </w:rPr>
  </w:style>
  <w:style w:type="paragraph" w:styleId="NoSpacing">
    <w:name w:val="No Spacing"/>
    <w:uiPriority w:val="1"/>
    <w:qFormat/>
    <w:rsid w:val="00467f07"/>
    <w:pPr>
      <w:widowControl/>
      <w:bidi w:val="0"/>
      <w:spacing w:lineRule="auto" w:line="240" w:before="0" w:after="0"/>
      <w:jc w:val="both"/>
    </w:pPr>
    <w:rPr>
      <w:rFonts w:ascii="Trebuchet MS" w:hAnsi="Trebuchet MS" w:eastAsia="Trebuchet MS" w:cs="Open Sans"/>
      <w:color w:val="000000"/>
      <w:kern w:val="0"/>
      <w:sz w:val="22"/>
      <w:szCs w:val="22"/>
      <w:lang w:val="ro-RO" w:eastAsia="en-US" w:bidi="ar-SA"/>
    </w:rPr>
  </w:style>
  <w:style w:type="paragraph" w:styleId="P1" w:customStyle="1">
    <w:name w:val="p1"/>
    <w:basedOn w:val="Normal"/>
    <w:qFormat/>
    <w:rsid w:val="00b10c76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itularizare.edu.ro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E47A-6A41-4AEC-9E2D-DA38901D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Ultra_Office/6.2.3.2$Windows_x86 LibreOffice_project/</Application>
  <Pages>1</Pages>
  <Words>226</Words>
  <Characters>1300</Characters>
  <CharactersWithSpaces>1530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2020-05-21T15:17:00Z</dcterms:created>
  <dc:creator/>
  <dc:description/>
  <dc:language>en-US</dc:language>
  <cp:lastModifiedBy/>
  <dcterms:modified xsi:type="dcterms:W3CDTF">2020-08-11T14:08:25Z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