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D00BA5" w:rsidRDefault="00536EE2" w:rsidP="00F81BD8">
      <w:pPr>
        <w:pStyle w:val="Footer1"/>
        <w:rPr>
          <w:lang w:eastAsia="en-GB"/>
        </w:rPr>
      </w:pPr>
      <w:bookmarkStart w:id="0" w:name="_GoBack"/>
      <w:bookmarkEnd w:id="0"/>
      <w:r>
        <w:rPr>
          <w:lang w:eastAsia="en-GB"/>
        </w:rPr>
        <w:t>19</w:t>
      </w:r>
      <w:r w:rsidR="008278B5" w:rsidRPr="00D00BA5">
        <w:rPr>
          <w:lang w:eastAsia="en-GB"/>
        </w:rPr>
        <w:t>.08</w:t>
      </w:r>
      <w:r w:rsidR="008A5B30" w:rsidRPr="00D00BA5">
        <w:rPr>
          <w:lang w:eastAsia="en-GB"/>
        </w:rPr>
        <w:t>.2020</w:t>
      </w:r>
    </w:p>
    <w:p w:rsidR="00A6381B" w:rsidRPr="006B723B" w:rsidRDefault="008A5B30" w:rsidP="006B723B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</w:pPr>
      <w:r w:rsidRPr="00D00BA5"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  <w:t>Comunicat de presă</w:t>
      </w:r>
    </w:p>
    <w:p w:rsidR="00536EE2" w:rsidRPr="00536EE2" w:rsidRDefault="00536EE2" w:rsidP="00536EE2">
      <w:pPr>
        <w:jc w:val="center"/>
        <w:rPr>
          <w:b/>
          <w:color w:val="4472C4" w:themeColor="accent5"/>
          <w:sz w:val="24"/>
          <w:szCs w:val="24"/>
        </w:rPr>
      </w:pPr>
      <w:r w:rsidRPr="00536EE2">
        <w:rPr>
          <w:b/>
          <w:color w:val="4472C4" w:themeColor="accent5"/>
          <w:sz w:val="24"/>
          <w:szCs w:val="24"/>
        </w:rPr>
        <w:t>Guvernul României a aprobat instituirea unor măsuri de preveni</w:t>
      </w:r>
      <w:r w:rsidR="00C97772">
        <w:rPr>
          <w:b/>
          <w:color w:val="4472C4" w:themeColor="accent5"/>
          <w:sz w:val="24"/>
          <w:szCs w:val="24"/>
        </w:rPr>
        <w:t>re a îmbolnăvirilor cu SARS–CoV-</w:t>
      </w:r>
      <w:r w:rsidRPr="00536EE2">
        <w:rPr>
          <w:b/>
          <w:color w:val="4472C4" w:themeColor="accent5"/>
          <w:sz w:val="24"/>
          <w:szCs w:val="24"/>
        </w:rPr>
        <w:t>2, în unitățile și instituțiile de învățământ preuniversitar și universitar</w:t>
      </w:r>
    </w:p>
    <w:p w:rsidR="00C412DF" w:rsidRDefault="00C412DF" w:rsidP="00C412DF">
      <w:pPr>
        <w:rPr>
          <w:rFonts w:asciiTheme="minorHAnsi" w:hAnsiTheme="minorHAnsi" w:cs="Arial"/>
          <w:color w:val="333333"/>
          <w:shd w:val="clear" w:color="auto" w:fill="FFFFFF"/>
        </w:rPr>
      </w:pPr>
      <w:r w:rsidRPr="00C412DF">
        <w:rPr>
          <w:rFonts w:asciiTheme="minorHAnsi" w:hAnsiTheme="minorHAnsi"/>
          <w:b/>
        </w:rPr>
        <w:t>Executivul a adoptat în ședința de astăzi, 19 august, o ordonanță de urgență privind instituirea unor măsuri de prevenire a îmbolnăvirii cu SARS-CoV-2, în unitățile și instituțiile de învățământ preuniversitar și universitar</w:t>
      </w:r>
      <w:r w:rsidRPr="00C412DF">
        <w:rPr>
          <w:rFonts w:asciiTheme="minorHAnsi" w:hAnsiTheme="minorHAnsi"/>
        </w:rPr>
        <w:t>. De asemenea, actul normativ modifică și completează Legea educației naționale nr. 1/2011. Prin noile măsuri legislative, se urmărește asigurarea dreptului la învățătură și  la sănătate pentru beneficiarii primari ai</w:t>
      </w:r>
      <w:r>
        <w:rPr>
          <w:rFonts w:asciiTheme="minorHAnsi" w:hAnsiTheme="minorHAnsi"/>
        </w:rPr>
        <w:t xml:space="preserve"> învățământului preuniversitar, </w:t>
      </w:r>
      <w:r w:rsidRPr="00C412DF">
        <w:rPr>
          <w:rFonts w:asciiTheme="minorHAnsi" w:hAnsiTheme="minorHAnsi"/>
        </w:rPr>
        <w:t>pentru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r w:rsidRPr="00C412DF">
        <w:rPr>
          <w:rFonts w:asciiTheme="minorHAnsi" w:hAnsiTheme="minorHAnsi"/>
        </w:rPr>
        <w:t>studenți și pentru personalul din sistemul național de învățământ.</w:t>
      </w:r>
    </w:p>
    <w:p w:rsidR="00C412DF" w:rsidRDefault="00C412DF" w:rsidP="00C412DF">
      <w:pPr>
        <w:rPr>
          <w:rFonts w:asciiTheme="minorHAnsi" w:hAnsiTheme="minorHAnsi" w:cs="Arial"/>
          <w:color w:val="333333"/>
          <w:shd w:val="clear" w:color="auto" w:fill="FFFFFF"/>
        </w:rPr>
      </w:pPr>
      <w:r w:rsidRPr="00C412DF">
        <w:rPr>
          <w:rFonts w:asciiTheme="minorHAnsi" w:hAnsiTheme="minorHAnsi"/>
        </w:rPr>
        <w:t>Astfel, în învățământul preuniversitar, în funcție de evoluția situației epidemiologice, Consiliul de administrație al școlii poate propune, în urma consultării Asociației de părinți, ca desfășurarea activității didactice care presupune prezența fizică a antepreșcolarilor, preşcolarilor și elevilor, să se realizeze prin intermediul tehnologiei și a internetului (cu respectarea măsurilor stabilite prin ordin comun al Ministerului Sănătății și Ministerului Educației și Cercetării).</w:t>
      </w:r>
    </w:p>
    <w:p w:rsidR="00C412DF" w:rsidRPr="00C412DF" w:rsidRDefault="00C412DF" w:rsidP="00C412DF">
      <w:pPr>
        <w:rPr>
          <w:rFonts w:asciiTheme="minorHAnsi" w:hAnsiTheme="minorHAnsi" w:cs="Arial"/>
          <w:color w:val="333333"/>
          <w:shd w:val="clear" w:color="auto" w:fill="FFFFFF"/>
        </w:rPr>
      </w:pPr>
      <w:r w:rsidRPr="00C412DF">
        <w:rPr>
          <w:rFonts w:asciiTheme="minorHAnsi" w:hAnsiTheme="minorHAnsi"/>
        </w:rPr>
        <w:t xml:space="preserve">Următorul pas procedural prevede ca propunerea școlii, avizată de către Inspectoratul Școlar Județean/Inspectoratul Școlar al Municipiului București, să fie înaintată Comitetului Județean pentru Situații de Urgență/Comitetului Municipiului București pentru Situații de Urgență, în vederea aprobării prin hotărâre. Comitetul Județean pentru Situații de Urgență/Comitetul Municipiului București pentru Situații de Urgență dispune atât cu privire la perioada de aplicabilitate a măsurilor adoptate, cât și cu privire la alte măsuri specifice ce trebuie luate de către școală, în funcție de situația epidemiologică. </w:t>
      </w:r>
      <w:r>
        <w:rPr>
          <w:rFonts w:asciiTheme="minorHAnsi" w:hAnsiTheme="minorHAnsi"/>
        </w:rPr>
        <w:t>Inspectoratele școlare județene</w:t>
      </w:r>
      <w:r w:rsidRPr="00C412DF">
        <w:rPr>
          <w:rFonts w:asciiTheme="minorHAnsi" w:hAnsiTheme="minorHAnsi"/>
        </w:rPr>
        <w:t>/Inspectoratul Școlar al Municipiului București vor comunica săptămânal Ministerului Educației și Cercetării măsurile dispuse de către Comitetul Județean pentru Situații de Urgență/Comitetul Municipiului București pentru Situații de Urgență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Reluarea activităților didactice, în condiții de siguranță sanitară,</w:t>
      </w:r>
      <w:r>
        <w:rPr>
          <w:rFonts w:asciiTheme="minorHAnsi" w:hAnsiTheme="minorHAnsi"/>
        </w:rPr>
        <w:t xml:space="preserve"> </w:t>
      </w:r>
      <w:r w:rsidRPr="00C412DF">
        <w:rPr>
          <w:rFonts w:asciiTheme="minorHAnsi" w:hAnsiTheme="minorHAnsi"/>
        </w:rPr>
        <w:t>suspendate în baza acestei proceduri</w:t>
      </w:r>
      <w:r>
        <w:rPr>
          <w:rFonts w:asciiTheme="minorHAnsi" w:hAnsiTheme="minorHAnsi"/>
        </w:rPr>
        <w:t>,</w:t>
      </w:r>
      <w:r w:rsidRPr="00C412DF">
        <w:rPr>
          <w:rFonts w:asciiTheme="minorHAnsi" w:hAnsiTheme="minorHAnsi"/>
        </w:rPr>
        <w:t xml:space="preserve"> este decisă prin hotărârea Comitetului Județ</w:t>
      </w:r>
      <w:r>
        <w:rPr>
          <w:rFonts w:asciiTheme="minorHAnsi" w:hAnsiTheme="minorHAnsi"/>
        </w:rPr>
        <w:t>ean pentru Situații de Urgență/</w:t>
      </w:r>
      <w:r w:rsidRPr="00C412DF">
        <w:rPr>
          <w:rFonts w:asciiTheme="minorHAnsi" w:hAnsiTheme="minorHAnsi"/>
        </w:rPr>
        <w:t>Comitetului Municipiului București pentru Situații de Urgență, cu avizul Direcției Județene de Sănătate Publică/Direcției de Sănătate Publică București și cu informarea unități</w:t>
      </w:r>
      <w:r>
        <w:rPr>
          <w:rFonts w:asciiTheme="minorHAnsi" w:hAnsiTheme="minorHAnsi"/>
        </w:rPr>
        <w:t xml:space="preserve">i de învățământ preuniversitar, </w:t>
      </w:r>
      <w:r w:rsidRPr="00C412DF">
        <w:rPr>
          <w:rFonts w:asciiTheme="minorHAnsi" w:hAnsiTheme="minorHAnsi"/>
        </w:rPr>
        <w:t>respectiv a Inspectoratului Școlar Județean/Inspectoratul Șc</w:t>
      </w:r>
      <w:r>
        <w:rPr>
          <w:rFonts w:asciiTheme="minorHAnsi" w:hAnsiTheme="minorHAnsi"/>
        </w:rPr>
        <w:t xml:space="preserve">olar al Municipiului București. </w:t>
      </w:r>
    </w:p>
    <w:p w:rsidR="00C412DF" w:rsidRDefault="00C412DF" w:rsidP="00C412DF">
      <w:p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C412DF">
        <w:rPr>
          <w:rFonts w:asciiTheme="minorHAnsi" w:hAnsiTheme="minorHAnsi"/>
        </w:rPr>
        <w:t>nitățile de învățământ vor elabora proceduri proprii pentru prelucrarea datelor cu caracter personal ale participanților la activitățile desfășurate prin intermediul tehnologiei și a internetului, în baza metodol</w:t>
      </w:r>
      <w:r>
        <w:rPr>
          <w:rFonts w:asciiTheme="minorHAnsi" w:hAnsiTheme="minorHAnsi"/>
        </w:rPr>
        <w:t xml:space="preserve">ogiei-cadru elaborate de către </w:t>
      </w:r>
      <w:r w:rsidRPr="00C412DF">
        <w:rPr>
          <w:rFonts w:asciiTheme="minorHAnsi" w:hAnsiTheme="minorHAnsi"/>
        </w:rPr>
        <w:t>Ministerul Educaț</w:t>
      </w:r>
      <w:r>
        <w:rPr>
          <w:rFonts w:asciiTheme="minorHAnsi" w:hAnsiTheme="minorHAnsi"/>
        </w:rPr>
        <w:t xml:space="preserve">iei și Cercetării și </w:t>
      </w:r>
      <w:r w:rsidRPr="00C412DF">
        <w:rPr>
          <w:rFonts w:asciiTheme="minorHAnsi" w:hAnsiTheme="minorHAnsi"/>
        </w:rPr>
        <w:t>aprobată prin ordin al ministrului, cu respectarea le</w:t>
      </w:r>
      <w:r>
        <w:rPr>
          <w:rFonts w:asciiTheme="minorHAnsi" w:hAnsiTheme="minorHAnsi"/>
        </w:rPr>
        <w:t>gislației specifice în vigoare.</w:t>
      </w:r>
    </w:p>
    <w:p w:rsidR="00C412DF" w:rsidRDefault="00C412DF" w:rsidP="00C412DF">
      <w:pPr>
        <w:rPr>
          <w:rFonts w:asciiTheme="minorHAnsi" w:hAnsiTheme="minorHAnsi"/>
        </w:rPr>
      </w:pPr>
      <w:r>
        <w:rPr>
          <w:rFonts w:asciiTheme="minorHAnsi" w:hAnsiTheme="minorHAnsi"/>
        </w:rPr>
        <w:t>Actul normativ aprobat astăzi mai stabilește că, î</w:t>
      </w:r>
      <w:r w:rsidRPr="00C412DF">
        <w:rPr>
          <w:rFonts w:asciiTheme="minorHAnsi" w:hAnsiTheme="minorHAnsi"/>
        </w:rPr>
        <w:t>n situația în care spațiile existente în unitățile de învățământ nu sunt suficiente pentru respectarea normelor de siguranță sanitară, stabilite de autoritățile de resort, inspectoratele școlare județene/Inspectoratul Școlar al Municipiului București pot solicita autorităților administrației publice locale să pună la dispoziția unităților de învățământ preuniversitar alte spații adecvate pentru desfășurarea activităților didactice.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 xml:space="preserve">În cazul limitării sau suspendării activităților didactice pentru realizarea cărora se impune prezenţa fizică a beneficiarilor primari ai sistemului de educație în unităţile de învăţământ, ca urmare a deciziei autorităților competente, Ministerul Educației și Cercetării poate modifica, prin ordin de </w:t>
      </w:r>
      <w:r w:rsidRPr="00C412DF">
        <w:rPr>
          <w:rFonts w:asciiTheme="minorHAnsi" w:hAnsiTheme="minorHAnsi"/>
        </w:rPr>
        <w:lastRenderedPageBreak/>
        <w:t>ministru, numărul de ore alocat disciplinelor de studiu/modulelor de pregătire prin planurile-cadru de învăţământ, precum și ponderea numărului de ore de predare şi evaluare în programa școlară aprobată</w:t>
      </w:r>
      <w:r>
        <w:rPr>
          <w:rFonts w:asciiTheme="minorHAnsi" w:hAnsiTheme="minorHAnsi"/>
        </w:rPr>
        <w:t>.</w:t>
      </w:r>
    </w:p>
    <w:p w:rsidR="00C412DF" w:rsidRP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În situația limitării sau suspendării activităților didactice pentru realizarea cărora se impune prezenţa fizică a beneficiarilor primari ai sistemului de educație în unitățile de învățământ, probele prevăzute de lege, din cadrul etapei I eliminatorii a examenului pentru definitivare în învățământ, se pot realiza și prin intermediul</w:t>
      </w:r>
      <w:r>
        <w:rPr>
          <w:rFonts w:asciiTheme="minorHAnsi" w:hAnsiTheme="minorHAnsi"/>
        </w:rPr>
        <w:t xml:space="preserve"> tehnologiei și a internetului. 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  <w:b/>
        </w:rPr>
        <w:t>În învățământul superior</w:t>
      </w:r>
      <w:r w:rsidRPr="00C412DF">
        <w:rPr>
          <w:rFonts w:asciiTheme="minorHAnsi" w:hAnsiTheme="minorHAnsi"/>
        </w:rPr>
        <w:t xml:space="preserve">, în funcție de situația epidemiologică și de specificul fiecărei universități, în anul universitar 2020-2021, </w:t>
      </w:r>
      <w:r w:rsidRPr="00C412DF">
        <w:rPr>
          <w:rFonts w:asciiTheme="minorHAnsi" w:hAnsiTheme="minorHAnsi"/>
          <w:b/>
        </w:rPr>
        <w:t>în baza autonomiei universitare</w:t>
      </w:r>
      <w:r w:rsidRPr="00C412DF">
        <w:rPr>
          <w:rFonts w:asciiTheme="minorHAnsi" w:hAnsiTheme="minorHAnsi"/>
        </w:rPr>
        <w:t xml:space="preserve">, cu asumarea răspunderii publice și cu respectarea calității actului didactic, </w:t>
      </w:r>
      <w:r w:rsidRPr="00C412DF">
        <w:rPr>
          <w:rFonts w:asciiTheme="minorHAnsi" w:hAnsiTheme="minorHAnsi"/>
          <w:b/>
        </w:rPr>
        <w:t>desfășurarea activității didactice ce presupune prezența fizică a studenților se stabilește prin hotărâre a Senatului universitar</w:t>
      </w:r>
      <w:r w:rsidRPr="00C412DF">
        <w:rPr>
          <w:rFonts w:asciiTheme="minorHAnsi" w:hAnsiTheme="minorHAnsi"/>
        </w:rPr>
        <w:t xml:space="preserve"> (cu respectarea măsurilor stabilite prin ordinul comun al Ministerului Sănătății și Ministerului Educației și Cercetării și a reglementărilor generale și sectoriale din Uniunea Europeană pri</w:t>
      </w:r>
      <w:r>
        <w:rPr>
          <w:rFonts w:asciiTheme="minorHAnsi" w:hAnsiTheme="minorHAnsi"/>
        </w:rPr>
        <w:t>vind minimul orelor de practică).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Desfășurarea activităților didactice</w:t>
      </w:r>
      <w:r>
        <w:rPr>
          <w:rFonts w:asciiTheme="minorHAnsi" w:hAnsiTheme="minorHAnsi"/>
        </w:rPr>
        <w:t xml:space="preserve"> implică trei paliere: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a) prezența fizică a studenților l</w:t>
      </w:r>
      <w:r>
        <w:rPr>
          <w:rFonts w:asciiTheme="minorHAnsi" w:hAnsiTheme="minorHAnsi"/>
        </w:rPr>
        <w:t>a toate activitățile didactice;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b) prezența fizică a studenților la anumite activități didactice, stabilite conform h</w:t>
      </w:r>
      <w:r>
        <w:rPr>
          <w:rFonts w:asciiTheme="minorHAnsi" w:hAnsiTheme="minorHAnsi"/>
        </w:rPr>
        <w:t>otărârii Senatului universitar;</w:t>
      </w:r>
    </w:p>
    <w:p w:rsidR="00C412DF" w:rsidRP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c) suspendarea activităților didactice pentru realizarea cărora se impune prezența fizică a studenților în insti</w:t>
      </w:r>
      <w:r>
        <w:rPr>
          <w:rFonts w:asciiTheme="minorHAnsi" w:hAnsiTheme="minorHAnsi"/>
        </w:rPr>
        <w:t>tuțiile de învățământ superior.</w:t>
      </w:r>
    </w:p>
    <w:p w:rsid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Reluarea activităților didactice, suspendate</w:t>
      </w:r>
      <w:r>
        <w:rPr>
          <w:rFonts w:asciiTheme="minorHAnsi" w:hAnsiTheme="minorHAnsi"/>
        </w:rPr>
        <w:t xml:space="preserve"> conform procedurii de mai sus,</w:t>
      </w:r>
      <w:r w:rsidRPr="00C412DF">
        <w:rPr>
          <w:rFonts w:asciiTheme="minorHAnsi" w:hAnsiTheme="minorHAnsi"/>
        </w:rPr>
        <w:t xml:space="preserve"> în condiții de siguranță sanitară, se dispune prin hotărâre a Senatului universitar, după obținerea avizului Direcției Județene de Sănatate Publică/Direcția de Sănătate Publică București, care certifică îndeplinirea condițiil</w:t>
      </w:r>
      <w:r>
        <w:rPr>
          <w:rFonts w:asciiTheme="minorHAnsi" w:hAnsiTheme="minorHAnsi"/>
        </w:rPr>
        <w:t xml:space="preserve">or de siguranță epidemiologică. </w:t>
      </w:r>
    </w:p>
    <w:p w:rsidR="00C412DF" w:rsidRPr="00C412DF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>În situația limitării sau suspendării activităților didactice pentru realizarea cărora se impune prezenţa fizică a studenților, desfășurarea activităților aferente anului universitar 2020 - 2021, conform legii, a examenelor de finalizare a studiilor de licență, de masterat sau a programelor de studii postuniversitare, susținerea tezelor de doctorat, susținerea tezelor de abilitare pentru anul universitar 2020 - 2021 se pot realiza și prin intermediul tehnologiei asistate de calculator și a internetului, pentru formele de organizare a programelor de studii cu frecvență, cu f</w:t>
      </w:r>
      <w:r>
        <w:rPr>
          <w:rFonts w:asciiTheme="minorHAnsi" w:hAnsiTheme="minorHAnsi"/>
        </w:rPr>
        <w:t>recvență redusă și la distanță.</w:t>
      </w:r>
    </w:p>
    <w:p w:rsidR="00C412DF" w:rsidRPr="00536EE2" w:rsidRDefault="00C412DF" w:rsidP="00C412DF">
      <w:pPr>
        <w:rPr>
          <w:rFonts w:asciiTheme="minorHAnsi" w:hAnsiTheme="minorHAnsi"/>
        </w:rPr>
      </w:pPr>
      <w:r w:rsidRPr="00C412DF">
        <w:rPr>
          <w:rFonts w:asciiTheme="minorHAnsi" w:hAnsiTheme="minorHAnsi"/>
        </w:rPr>
        <w:t xml:space="preserve">De asemenea, </w:t>
      </w:r>
      <w:r w:rsidR="00D66E00">
        <w:rPr>
          <w:rFonts w:asciiTheme="minorHAnsi" w:hAnsiTheme="minorHAnsi"/>
        </w:rPr>
        <w:t xml:space="preserve">vor fi recunoscute </w:t>
      </w:r>
      <w:r w:rsidRPr="00C412DF">
        <w:rPr>
          <w:rFonts w:asciiTheme="minorHAnsi" w:hAnsiTheme="minorHAnsi"/>
        </w:rPr>
        <w:t>activitățile didactice și de cercetare prevăzute de lege, precum și examenele de finalizare a semestrelor și a studiilor de licență și masterat, susținerea referatelor și a tezelor de doctorat, desfășurate prin intermediul tehnologiei și a internetului</w:t>
      </w:r>
      <w:r>
        <w:rPr>
          <w:rFonts w:asciiTheme="minorHAnsi" w:hAnsiTheme="minorHAnsi"/>
        </w:rPr>
        <w:t>,</w:t>
      </w:r>
      <w:r w:rsidRPr="00C412DF">
        <w:rPr>
          <w:rFonts w:asciiTheme="minorHAnsi" w:hAnsiTheme="minorHAnsi"/>
        </w:rPr>
        <w:t xml:space="preserve"> în anul universitar 2020 - 2021, în cadrul formelor de învățământ cu frecvență și cu frecvență redusă și la distanță</w:t>
      </w:r>
      <w:r w:rsidR="00D66E00">
        <w:rPr>
          <w:rFonts w:asciiTheme="minorHAnsi" w:hAnsiTheme="minorHAnsi"/>
        </w:rPr>
        <w:t>.</w:t>
      </w:r>
    </w:p>
    <w:p w:rsidR="00A6381B" w:rsidRPr="00F81BD8" w:rsidRDefault="00A6381B" w:rsidP="003410B1">
      <w:pPr>
        <w:shd w:val="clear" w:color="auto" w:fill="FFFFFF"/>
        <w:spacing w:before="0" w:after="150" w:line="240" w:lineRule="auto"/>
        <w:rPr>
          <w:rFonts w:eastAsia="Times New Roman" w:cs="Arial"/>
          <w:color w:val="333333"/>
          <w:sz w:val="23"/>
          <w:szCs w:val="23"/>
          <w:lang w:eastAsia="en-GB"/>
        </w:rPr>
      </w:pPr>
    </w:p>
    <w:sectPr w:rsidR="00A6381B" w:rsidRPr="00F81BD8" w:rsidSect="00EA6515">
      <w:headerReference w:type="default" r:id="rId9"/>
      <w:footerReference w:type="default" r:id="rId10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05" w:rsidRDefault="007F3805" w:rsidP="009772BD">
      <w:r>
        <w:separator/>
      </w:r>
    </w:p>
  </w:endnote>
  <w:endnote w:type="continuationSeparator" w:id="0">
    <w:p w:rsidR="007F3805" w:rsidRDefault="007F3805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05" w:rsidRDefault="007F3805" w:rsidP="009772BD">
      <w:r>
        <w:separator/>
      </w:r>
    </w:p>
  </w:footnote>
  <w:footnote w:type="continuationSeparator" w:id="0">
    <w:p w:rsidR="007F3805" w:rsidRDefault="007F3805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310AF"/>
    <w:multiLevelType w:val="hybridMultilevel"/>
    <w:tmpl w:val="578AB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37188"/>
    <w:multiLevelType w:val="hybridMultilevel"/>
    <w:tmpl w:val="A1F0236C"/>
    <w:lvl w:ilvl="0" w:tplc="3692C5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ACF0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7ACE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18CB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0096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88261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84DF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D4D10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9A05D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9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F29F3"/>
    <w:multiLevelType w:val="hybridMultilevel"/>
    <w:tmpl w:val="1F988090"/>
    <w:lvl w:ilvl="0" w:tplc="ADCC15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7E93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AC26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D614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8001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E70E8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482D4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F611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56C8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7"/>
  </w:num>
  <w:num w:numId="4">
    <w:abstractNumId w:val="34"/>
  </w:num>
  <w:num w:numId="5">
    <w:abstractNumId w:val="31"/>
  </w:num>
  <w:num w:numId="6">
    <w:abstractNumId w:val="35"/>
  </w:num>
  <w:num w:numId="7">
    <w:abstractNumId w:val="21"/>
  </w:num>
  <w:num w:numId="8">
    <w:abstractNumId w:val="41"/>
  </w:num>
  <w:num w:numId="9">
    <w:abstractNumId w:val="22"/>
  </w:num>
  <w:num w:numId="10">
    <w:abstractNumId w:val="43"/>
  </w:num>
  <w:num w:numId="11">
    <w:abstractNumId w:val="15"/>
  </w:num>
  <w:num w:numId="12">
    <w:abstractNumId w:val="42"/>
  </w:num>
  <w:num w:numId="13">
    <w:abstractNumId w:val="33"/>
  </w:num>
  <w:num w:numId="14">
    <w:abstractNumId w:val="12"/>
  </w:num>
  <w:num w:numId="15">
    <w:abstractNumId w:val="11"/>
  </w:num>
  <w:num w:numId="16">
    <w:abstractNumId w:val="40"/>
  </w:num>
  <w:num w:numId="17">
    <w:abstractNumId w:val="37"/>
  </w:num>
  <w:num w:numId="18">
    <w:abstractNumId w:val="24"/>
  </w:num>
  <w:num w:numId="19">
    <w:abstractNumId w:val="19"/>
  </w:num>
  <w:num w:numId="20">
    <w:abstractNumId w:val="18"/>
  </w:num>
  <w:num w:numId="21">
    <w:abstractNumId w:val="25"/>
  </w:num>
  <w:num w:numId="22">
    <w:abstractNumId w:val="13"/>
  </w:num>
  <w:num w:numId="23">
    <w:abstractNumId w:val="30"/>
  </w:num>
  <w:num w:numId="24">
    <w:abstractNumId w:val="6"/>
  </w:num>
  <w:num w:numId="25">
    <w:abstractNumId w:val="32"/>
  </w:num>
  <w:num w:numId="26">
    <w:abstractNumId w:val="23"/>
  </w:num>
  <w:num w:numId="27">
    <w:abstractNumId w:val="8"/>
  </w:num>
  <w:num w:numId="28">
    <w:abstractNumId w:val="27"/>
  </w:num>
  <w:num w:numId="29">
    <w:abstractNumId w:val="4"/>
  </w:num>
  <w:num w:numId="30">
    <w:abstractNumId w:val="36"/>
  </w:num>
  <w:num w:numId="31">
    <w:abstractNumId w:val="0"/>
  </w:num>
  <w:num w:numId="32">
    <w:abstractNumId w:val="16"/>
  </w:num>
  <w:num w:numId="33">
    <w:abstractNumId w:val="3"/>
  </w:num>
  <w:num w:numId="34">
    <w:abstractNumId w:val="14"/>
  </w:num>
  <w:num w:numId="35">
    <w:abstractNumId w:val="2"/>
  </w:num>
  <w:num w:numId="36">
    <w:abstractNumId w:val="39"/>
  </w:num>
  <w:num w:numId="37">
    <w:abstractNumId w:val="7"/>
  </w:num>
  <w:num w:numId="38">
    <w:abstractNumId w:val="5"/>
  </w:num>
  <w:num w:numId="39">
    <w:abstractNumId w:val="29"/>
  </w:num>
  <w:num w:numId="40">
    <w:abstractNumId w:val="26"/>
  </w:num>
  <w:num w:numId="41">
    <w:abstractNumId w:val="9"/>
  </w:num>
  <w:num w:numId="42">
    <w:abstractNumId w:val="10"/>
  </w:num>
  <w:num w:numId="43">
    <w:abstractNumId w:val="3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0F7C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1A33"/>
    <w:rsid w:val="000745D4"/>
    <w:rsid w:val="00092995"/>
    <w:rsid w:val="000966ED"/>
    <w:rsid w:val="000B3254"/>
    <w:rsid w:val="000D36FC"/>
    <w:rsid w:val="000E033A"/>
    <w:rsid w:val="000E0D23"/>
    <w:rsid w:val="000E2B20"/>
    <w:rsid w:val="000E3BD7"/>
    <w:rsid w:val="000E6CA1"/>
    <w:rsid w:val="00117029"/>
    <w:rsid w:val="0014055E"/>
    <w:rsid w:val="00143A81"/>
    <w:rsid w:val="00144069"/>
    <w:rsid w:val="0014442B"/>
    <w:rsid w:val="001466DC"/>
    <w:rsid w:val="0016533E"/>
    <w:rsid w:val="001735C1"/>
    <w:rsid w:val="0018079F"/>
    <w:rsid w:val="00181CD6"/>
    <w:rsid w:val="00183B76"/>
    <w:rsid w:val="00193251"/>
    <w:rsid w:val="001A20AE"/>
    <w:rsid w:val="001C3DD1"/>
    <w:rsid w:val="001E0B8F"/>
    <w:rsid w:val="001E2D0C"/>
    <w:rsid w:val="001E706C"/>
    <w:rsid w:val="001F3823"/>
    <w:rsid w:val="001F5E63"/>
    <w:rsid w:val="00204EA9"/>
    <w:rsid w:val="0020568F"/>
    <w:rsid w:val="002133EA"/>
    <w:rsid w:val="00213EE5"/>
    <w:rsid w:val="00214B09"/>
    <w:rsid w:val="00216217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1BC0"/>
    <w:rsid w:val="002667C8"/>
    <w:rsid w:val="00274352"/>
    <w:rsid w:val="00276959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338A"/>
    <w:rsid w:val="002B3A89"/>
    <w:rsid w:val="002B4BF3"/>
    <w:rsid w:val="002B584A"/>
    <w:rsid w:val="002C7E99"/>
    <w:rsid w:val="002D587E"/>
    <w:rsid w:val="002D5D27"/>
    <w:rsid w:val="002E2FD5"/>
    <w:rsid w:val="002F2298"/>
    <w:rsid w:val="002F2319"/>
    <w:rsid w:val="002F4752"/>
    <w:rsid w:val="003021EA"/>
    <w:rsid w:val="00310A7F"/>
    <w:rsid w:val="00310D22"/>
    <w:rsid w:val="00321BB0"/>
    <w:rsid w:val="00324375"/>
    <w:rsid w:val="003273BB"/>
    <w:rsid w:val="00332FDB"/>
    <w:rsid w:val="003410B1"/>
    <w:rsid w:val="00341288"/>
    <w:rsid w:val="00351B4A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136A"/>
    <w:rsid w:val="003B3C9A"/>
    <w:rsid w:val="003B5288"/>
    <w:rsid w:val="003B7E30"/>
    <w:rsid w:val="003D0869"/>
    <w:rsid w:val="003D089B"/>
    <w:rsid w:val="003D2449"/>
    <w:rsid w:val="003D2870"/>
    <w:rsid w:val="003E618E"/>
    <w:rsid w:val="003E68BB"/>
    <w:rsid w:val="003E6FE4"/>
    <w:rsid w:val="003E74B5"/>
    <w:rsid w:val="003F0E4E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01AA"/>
    <w:rsid w:val="0053292C"/>
    <w:rsid w:val="00536135"/>
    <w:rsid w:val="00536EE2"/>
    <w:rsid w:val="005378B1"/>
    <w:rsid w:val="0054163A"/>
    <w:rsid w:val="00546366"/>
    <w:rsid w:val="00556545"/>
    <w:rsid w:val="00556B8C"/>
    <w:rsid w:val="005700B3"/>
    <w:rsid w:val="00572907"/>
    <w:rsid w:val="00581FA6"/>
    <w:rsid w:val="00584A2D"/>
    <w:rsid w:val="005A0EA4"/>
    <w:rsid w:val="005A1834"/>
    <w:rsid w:val="005A41F3"/>
    <w:rsid w:val="005B50EE"/>
    <w:rsid w:val="005C0CFF"/>
    <w:rsid w:val="005C3B60"/>
    <w:rsid w:val="005D05C0"/>
    <w:rsid w:val="005D3A66"/>
    <w:rsid w:val="005D47CD"/>
    <w:rsid w:val="005D6DE2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0C3F"/>
    <w:rsid w:val="006814BD"/>
    <w:rsid w:val="00681D9C"/>
    <w:rsid w:val="00685861"/>
    <w:rsid w:val="006911C5"/>
    <w:rsid w:val="0069641B"/>
    <w:rsid w:val="006A3087"/>
    <w:rsid w:val="006A55A7"/>
    <w:rsid w:val="006B5748"/>
    <w:rsid w:val="006B723B"/>
    <w:rsid w:val="006B7A9F"/>
    <w:rsid w:val="006C7188"/>
    <w:rsid w:val="006D6464"/>
    <w:rsid w:val="006D65C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62DBE"/>
    <w:rsid w:val="00770DE7"/>
    <w:rsid w:val="007817C2"/>
    <w:rsid w:val="0078260B"/>
    <w:rsid w:val="00783435"/>
    <w:rsid w:val="00784890"/>
    <w:rsid w:val="007862DD"/>
    <w:rsid w:val="00790084"/>
    <w:rsid w:val="00790829"/>
    <w:rsid w:val="00794F23"/>
    <w:rsid w:val="00797E61"/>
    <w:rsid w:val="007A0793"/>
    <w:rsid w:val="007B137B"/>
    <w:rsid w:val="007B3360"/>
    <w:rsid w:val="007B55DB"/>
    <w:rsid w:val="007C0292"/>
    <w:rsid w:val="007C255A"/>
    <w:rsid w:val="007D344A"/>
    <w:rsid w:val="007D3F1E"/>
    <w:rsid w:val="007D4421"/>
    <w:rsid w:val="007D4C10"/>
    <w:rsid w:val="007E4E1F"/>
    <w:rsid w:val="007E77FA"/>
    <w:rsid w:val="007F256A"/>
    <w:rsid w:val="007F3805"/>
    <w:rsid w:val="007F3E70"/>
    <w:rsid w:val="007F57DF"/>
    <w:rsid w:val="00800E72"/>
    <w:rsid w:val="00804AC0"/>
    <w:rsid w:val="00805543"/>
    <w:rsid w:val="0081647B"/>
    <w:rsid w:val="008168D4"/>
    <w:rsid w:val="00817449"/>
    <w:rsid w:val="008278B5"/>
    <w:rsid w:val="00832D55"/>
    <w:rsid w:val="00833633"/>
    <w:rsid w:val="00837EC3"/>
    <w:rsid w:val="00840A24"/>
    <w:rsid w:val="008433BA"/>
    <w:rsid w:val="00850A7C"/>
    <w:rsid w:val="008566D8"/>
    <w:rsid w:val="00863370"/>
    <w:rsid w:val="00871B2D"/>
    <w:rsid w:val="00872716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059D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2898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A7505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26750"/>
    <w:rsid w:val="00A30C55"/>
    <w:rsid w:val="00A3113C"/>
    <w:rsid w:val="00A3416F"/>
    <w:rsid w:val="00A3696C"/>
    <w:rsid w:val="00A526E8"/>
    <w:rsid w:val="00A55E5C"/>
    <w:rsid w:val="00A610DE"/>
    <w:rsid w:val="00A6381B"/>
    <w:rsid w:val="00A664FA"/>
    <w:rsid w:val="00A723F1"/>
    <w:rsid w:val="00A7548C"/>
    <w:rsid w:val="00A85320"/>
    <w:rsid w:val="00A967CB"/>
    <w:rsid w:val="00AA169F"/>
    <w:rsid w:val="00AB3FC2"/>
    <w:rsid w:val="00AB4156"/>
    <w:rsid w:val="00AC3361"/>
    <w:rsid w:val="00AC7F20"/>
    <w:rsid w:val="00AD0AA4"/>
    <w:rsid w:val="00AD2F5B"/>
    <w:rsid w:val="00AD5620"/>
    <w:rsid w:val="00AD59B4"/>
    <w:rsid w:val="00AD5BE8"/>
    <w:rsid w:val="00AE294C"/>
    <w:rsid w:val="00AE52ED"/>
    <w:rsid w:val="00AE5B50"/>
    <w:rsid w:val="00AF78E1"/>
    <w:rsid w:val="00B00FA0"/>
    <w:rsid w:val="00B03529"/>
    <w:rsid w:val="00B10C76"/>
    <w:rsid w:val="00B12FAC"/>
    <w:rsid w:val="00B22ACE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BA"/>
    <w:rsid w:val="00C17BE4"/>
    <w:rsid w:val="00C21C6C"/>
    <w:rsid w:val="00C22C0B"/>
    <w:rsid w:val="00C26B7A"/>
    <w:rsid w:val="00C36B71"/>
    <w:rsid w:val="00C412DF"/>
    <w:rsid w:val="00C42B81"/>
    <w:rsid w:val="00C54AB7"/>
    <w:rsid w:val="00C54ECF"/>
    <w:rsid w:val="00C57AE6"/>
    <w:rsid w:val="00C57AF0"/>
    <w:rsid w:val="00C90948"/>
    <w:rsid w:val="00C93E06"/>
    <w:rsid w:val="00C9678C"/>
    <w:rsid w:val="00C97772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0BA5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66E00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34A8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52A0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08D5"/>
    <w:rsid w:val="00EC72B1"/>
    <w:rsid w:val="00ED7F86"/>
    <w:rsid w:val="00EE009B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26F3F"/>
    <w:rsid w:val="00F3433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1BD8"/>
    <w:rsid w:val="00F8667F"/>
    <w:rsid w:val="00F916CE"/>
    <w:rsid w:val="00FA0405"/>
    <w:rsid w:val="00FA4863"/>
    <w:rsid w:val="00FA5AD2"/>
    <w:rsid w:val="00FB3129"/>
    <w:rsid w:val="00FB37C4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2743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2743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0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44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6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6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77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6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9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53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311B-A2F2-415C-A230-322944BA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2020-08-19T19:27:00Z</dcterms:created>
  <dcterms:modified xsi:type="dcterms:W3CDTF">2020-08-19T19:27:00Z</dcterms:modified>
</cp:coreProperties>
</file>