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tejustify"/>
        <w:shd w:val="clear" w:color="auto" w:fill="FFFFFF"/>
        <w:spacing w:lineRule="auto" w:line="360" w:beforeAutospacing="0" w:before="0" w:afterAutospacing="0" w:after="150"/>
        <w:jc w:val="right"/>
        <w:rPr/>
      </w:pPr>
      <w:r>
        <w:rPr>
          <w:rFonts w:cs="Arial" w:ascii="Trebuchet MS" w:hAnsi="Trebuchet MS" w:asciiTheme="minorHAnsi" w:hAnsiTheme="minorHAnsi"/>
          <w:b/>
          <w:color w:val="0070C0"/>
          <w:lang w:val="ro-RO"/>
        </w:rPr>
        <w:t>1</w:t>
      </w:r>
      <w:r>
        <w:rPr>
          <w:rFonts w:cs="Arial" w:ascii="Trebuchet MS" w:hAnsi="Trebuchet MS" w:asciiTheme="minorHAnsi" w:hAnsiTheme="minorHAnsi"/>
          <w:b/>
          <w:color w:val="0070C0"/>
          <w:lang w:val="ro-RO"/>
        </w:rPr>
        <w:t>1</w:t>
      </w:r>
      <w:r>
        <w:rPr>
          <w:rFonts w:cs="Arial" w:ascii="Trebuchet MS" w:hAnsi="Trebuchet MS" w:asciiTheme="minorHAnsi" w:hAnsiTheme="minorHAnsi"/>
          <w:b/>
          <w:color w:val="0070C0"/>
          <w:lang w:val="ro-RO"/>
        </w:rPr>
        <w:t>.09.2020</w:t>
      </w:r>
    </w:p>
    <w:p>
      <w:pPr>
        <w:pStyle w:val="Heading1"/>
        <w:pBdr>
          <w:bottom w:val="single" w:sz="6" w:space="2" w:color="B9D2E3"/>
        </w:pBdr>
        <w:shd w:val="clear" w:color="auto" w:fill="FFFFFF"/>
        <w:spacing w:lineRule="auto" w:line="360" w:beforeAutospacing="0" w:before="0" w:afterAutospacing="0" w:after="0"/>
        <w:ind w:left="75" w:right="75" w:hanging="0"/>
        <w:jc w:val="center"/>
        <w:rPr>
          <w:rFonts w:ascii="Trebuchet MS" w:hAnsi="Trebuchet MS" w:cs="Tahoma" w:asciiTheme="minorHAnsi" w:hAnsiTheme="minorHAnsi"/>
          <w:color w:val="0070C0"/>
          <w:sz w:val="24"/>
          <w:szCs w:val="24"/>
          <w:lang w:val="ro-RO"/>
        </w:rPr>
      </w:pPr>
      <w:r>
        <w:rPr>
          <w:rFonts w:cs="Tahoma" w:ascii="Trebuchet MS" w:hAnsi="Trebuchet MS" w:asciiTheme="minorHAnsi" w:hAnsiTheme="minorHAnsi"/>
          <w:color w:val="0070C0"/>
          <w:sz w:val="24"/>
          <w:szCs w:val="24"/>
          <w:lang w:val="ro-RO"/>
        </w:rPr>
        <w:t>Comunicat de presă</w:t>
      </w:r>
    </w:p>
    <w:p>
      <w:pPr>
        <w:pStyle w:val="Normal"/>
        <w:shd w:val="clear" w:color="auto" w:fill="FFFFFF"/>
        <w:spacing w:lineRule="auto" w:line="240" w:before="160" w:after="150"/>
        <w:jc w:val="center"/>
        <w:rPr>
          <w:rFonts w:eastAsia="Times New Roman" w:cs="Arial"/>
          <w:b/>
          <w:b/>
          <w:color w:val="auto"/>
          <w:sz w:val="24"/>
          <w:szCs w:val="24"/>
          <w:lang w:eastAsia="en-GB"/>
        </w:rPr>
      </w:pPr>
      <w:bookmarkStart w:id="0" w:name="__DdeLink__423_4269704575"/>
      <w:r>
        <w:rPr>
          <w:rFonts w:eastAsia="Times New Roman" w:cs="Arial"/>
          <w:b/>
          <w:color w:val="0070C0"/>
          <w:sz w:val="24"/>
          <w:szCs w:val="24"/>
          <w:lang w:eastAsia="en-GB"/>
        </w:rPr>
        <w:t>Comitetele pentru situații de urgență au hotărât scenariile pentru începutul de an școlar</w:t>
      </w:r>
      <w:bookmarkEnd w:id="0"/>
    </w:p>
    <w:p>
      <w:pPr>
        <w:pStyle w:val="Normal"/>
        <w:shd w:val="clear" w:color="auto" w:fill="FFFFFF"/>
        <w:spacing w:lineRule="auto" w:line="240" w:before="160" w:after="150"/>
        <w:rPr>
          <w:rFonts w:eastAsia="Times New Roman" w:cs="Arial"/>
          <w:b/>
          <w:b/>
          <w:color w:val="auto"/>
          <w:sz w:val="24"/>
          <w:szCs w:val="24"/>
          <w:lang w:eastAsia="en-GB"/>
        </w:rPr>
      </w:pPr>
      <w:r>
        <w:rPr>
          <w:rFonts w:eastAsia="Times New Roman" w:cs="Arial"/>
          <w:b/>
          <w:color w:val="auto"/>
          <w:sz w:val="24"/>
          <w:szCs w:val="24"/>
          <w:lang w:eastAsia="en-GB"/>
        </w:rPr>
      </w:r>
    </w:p>
    <w:p>
      <w:pPr>
        <w:pStyle w:val="Normal"/>
        <w:shd w:val="clear" w:color="auto" w:fill="FFFFFF"/>
        <w:spacing w:lineRule="auto" w:line="240" w:before="160" w:after="150"/>
        <w:rPr/>
      </w:pPr>
      <w:r>
        <w:rPr>
          <w:rFonts w:eastAsia="Times New Roman" w:cs="Arial"/>
          <w:b/>
          <w:color w:val="auto"/>
          <w:sz w:val="24"/>
          <w:szCs w:val="24"/>
          <w:lang w:eastAsia="en-GB"/>
        </w:rPr>
        <w:t xml:space="preserve">În urma propunerilor înaintate de către consiliile de administrație ale unităților de învățământ, până </w:t>
      </w:r>
      <w:r>
        <w:rPr>
          <w:rFonts w:eastAsia="Times New Roman" w:cs="Arial"/>
          <w:b/>
          <w:color w:val="auto"/>
          <w:sz w:val="24"/>
          <w:szCs w:val="24"/>
          <w:lang w:eastAsia="en-GB"/>
        </w:rPr>
        <w:t>ieri</w:t>
      </w:r>
      <w:r>
        <w:rPr>
          <w:rFonts w:eastAsia="Times New Roman" w:cs="Arial"/>
          <w:b/>
          <w:color w:val="auto"/>
          <w:sz w:val="24"/>
          <w:szCs w:val="24"/>
          <w:lang w:eastAsia="en-GB"/>
        </w:rPr>
        <w:t>, 10 septembrie, comitet</w:t>
      </w:r>
      <w:r>
        <w:rPr>
          <w:rFonts w:eastAsia="Times New Roman" w:cs="Arial"/>
          <w:b/>
          <w:color w:val="auto"/>
          <w:sz w:val="24"/>
          <w:szCs w:val="24"/>
          <w:lang w:eastAsia="en-GB"/>
        </w:rPr>
        <w:t>ul</w:t>
      </w:r>
      <w:r>
        <w:rPr>
          <w:rFonts w:eastAsia="Times New Roman" w:cs="Arial"/>
          <w:b/>
          <w:color w:val="auto"/>
          <w:sz w:val="24"/>
          <w:szCs w:val="24"/>
          <w:lang w:eastAsia="en-GB"/>
        </w:rPr>
        <w:t xml:space="preserve"> județe</w:t>
      </w:r>
      <w:r>
        <w:rPr>
          <w:rFonts w:eastAsia="Times New Roman" w:cs="Arial"/>
          <w:b/>
          <w:color w:val="auto"/>
          <w:sz w:val="24"/>
          <w:szCs w:val="24"/>
          <w:lang w:eastAsia="en-GB"/>
        </w:rPr>
        <w:t>a</w:t>
      </w:r>
      <w:r>
        <w:rPr>
          <w:rFonts w:eastAsia="Times New Roman" w:cs="Arial"/>
          <w:b/>
          <w:color w:val="auto"/>
          <w:sz w:val="24"/>
          <w:szCs w:val="24"/>
          <w:lang w:eastAsia="en-GB"/>
        </w:rPr>
        <w:t>n pentru situații de urgență (CJSU) a emis hotărârile privind scenariul de funcționare pentru fiecare unitate de învățământ, valabil pentru începutul de an școlar 2020-2021.</w:t>
      </w:r>
    </w:p>
    <w:p>
      <w:pPr>
        <w:pStyle w:val="Normal"/>
        <w:shd w:val="clear" w:color="auto" w:fill="FFFFFF"/>
        <w:spacing w:lineRule="auto" w:line="240" w:before="160" w:after="150"/>
        <w:rPr/>
      </w:pPr>
      <w:r>
        <w:rPr>
          <w:rFonts w:eastAsia="Times New Roman" w:cs="Arial"/>
          <w:color w:val="auto"/>
          <w:sz w:val="24"/>
          <w:szCs w:val="24"/>
          <w:lang w:eastAsia="en-GB"/>
        </w:rPr>
        <w:t xml:space="preserve">Astfel, conform acestora, </w:t>
      </w:r>
      <w:r>
        <w:rPr>
          <w:rFonts w:eastAsia="Times New Roman" w:cs="Arial"/>
          <w:color w:val="auto"/>
          <w:sz w:val="24"/>
          <w:szCs w:val="24"/>
          <w:lang w:eastAsia="en-GB"/>
        </w:rPr>
        <w:t xml:space="preserve">în judeţul GORJ </w:t>
      </w:r>
      <w:r>
        <w:rPr>
          <w:rFonts w:eastAsia="Times New Roman" w:cs="Arial"/>
          <w:color w:val="auto"/>
          <w:sz w:val="24"/>
          <w:szCs w:val="24"/>
          <w:lang w:eastAsia="en-GB"/>
        </w:rPr>
        <w:t>se înregistrează următoarea situație:</w:t>
      </w:r>
    </w:p>
    <w:p>
      <w:pPr>
        <w:pStyle w:val="Normal"/>
        <w:shd w:val="clear" w:color="auto" w:fill="FFFFFF"/>
        <w:spacing w:lineRule="auto" w:line="240" w:before="160" w:after="150"/>
        <w:rPr/>
      </w:pPr>
      <w:bookmarkStart w:id="1" w:name="_GoBack"/>
      <w:r>
        <w:rPr>
          <w:rFonts w:eastAsia="Times New Roman" w:cs="Arial"/>
          <w:b w:val="false"/>
          <w:bCs w:val="false"/>
          <w:color w:val="auto"/>
          <w:sz w:val="24"/>
          <w:szCs w:val="24"/>
          <w:lang w:eastAsia="en-GB"/>
        </w:rPr>
        <w:t>310 şcoli din 195</w:t>
      </w:r>
      <w:r>
        <w:rPr>
          <w:rFonts w:eastAsia="Times New Roman" w:cs="Arial"/>
          <w:color w:val="auto"/>
          <w:sz w:val="24"/>
          <w:szCs w:val="24"/>
          <w:lang w:eastAsia="en-GB"/>
        </w:rPr>
        <w:t xml:space="preserve"> </w:t>
      </w:r>
      <w:bookmarkEnd w:id="1"/>
      <w:r>
        <w:rPr>
          <w:rFonts w:eastAsia="Times New Roman" w:cs="Arial"/>
          <w:color w:val="auto"/>
          <w:sz w:val="24"/>
          <w:szCs w:val="24"/>
          <w:lang w:eastAsia="en-GB"/>
        </w:rPr>
        <w:t xml:space="preserve">unități de învățământ </w:t>
      </w:r>
      <w:r>
        <w:rPr>
          <w:rFonts w:eastAsia="Times New Roman" w:cs="Arial"/>
          <w:color w:val="auto"/>
          <w:sz w:val="24"/>
          <w:szCs w:val="24"/>
          <w:lang w:eastAsia="en-GB"/>
        </w:rPr>
        <w:t xml:space="preserve">cu Personalitate Juridică </w:t>
      </w:r>
      <w:r>
        <w:rPr>
          <w:rFonts w:eastAsia="Times New Roman" w:cs="Arial"/>
          <w:color w:val="auto"/>
          <w:sz w:val="24"/>
          <w:szCs w:val="24"/>
          <w:lang w:eastAsia="en-GB"/>
        </w:rPr>
        <w:t>în Scenariul 1: participarea zilnică (față în față) a tuturor preșcolarilor și elevilor în unitățile de învățământ, cu respectarea și aplicarea tuturor normelor de protecție sanitară</w:t>
      </w:r>
    </w:p>
    <w:p>
      <w:pPr>
        <w:pStyle w:val="Normal"/>
        <w:shd w:val="clear" w:color="auto" w:fill="FFFFFF"/>
        <w:spacing w:lineRule="auto" w:line="240" w:before="160" w:after="150"/>
        <w:rPr/>
      </w:pPr>
      <w:r>
        <w:rPr>
          <w:rFonts w:eastAsia="Times New Roman" w:cs="Arial"/>
          <w:b w:val="false"/>
          <w:bCs w:val="false"/>
          <w:color w:val="auto"/>
          <w:sz w:val="24"/>
          <w:szCs w:val="24"/>
          <w:lang w:eastAsia="en-GB"/>
        </w:rPr>
        <w:t xml:space="preserve">- </w:t>
      </w:r>
      <w:r>
        <w:rPr>
          <w:rFonts w:eastAsia="Times New Roman" w:cs="Arial"/>
          <w:b w:val="false"/>
          <w:bCs w:val="false"/>
          <w:color w:val="auto"/>
          <w:sz w:val="24"/>
          <w:szCs w:val="24"/>
          <w:lang w:eastAsia="en-GB"/>
        </w:rPr>
        <w:t>151</w:t>
      </w:r>
      <w:r>
        <w:rPr>
          <w:rFonts w:eastAsia="Times New Roman" w:cs="Arial"/>
          <w:color w:val="auto"/>
          <w:sz w:val="24"/>
          <w:szCs w:val="24"/>
          <w:lang w:eastAsia="en-GB"/>
        </w:rPr>
        <w:t xml:space="preserve"> </w:t>
      </w:r>
      <w:r>
        <w:rPr>
          <w:rFonts w:eastAsia="Times New Roman" w:cs="Arial"/>
          <w:color w:val="auto"/>
          <w:sz w:val="24"/>
          <w:szCs w:val="24"/>
          <w:lang w:eastAsia="en-GB"/>
        </w:rPr>
        <w:t xml:space="preserve">din 95 </w:t>
      </w:r>
      <w:r>
        <w:rPr>
          <w:rFonts w:eastAsia="Times New Roman" w:cs="Arial"/>
          <w:color w:val="auto"/>
          <w:sz w:val="24"/>
          <w:szCs w:val="24"/>
          <w:lang w:eastAsia="en-GB"/>
        </w:rPr>
        <w:t xml:space="preserve">unități de învățământ </w:t>
      </w:r>
      <w:r>
        <w:rPr>
          <w:rFonts w:eastAsia="Times New Roman" w:cs="Arial"/>
          <w:color w:val="auto"/>
          <w:sz w:val="24"/>
          <w:szCs w:val="24"/>
          <w:lang w:eastAsia="en-GB"/>
        </w:rPr>
        <w:t>cu Personalitate Juridică</w:t>
      </w:r>
      <w:r>
        <w:rPr>
          <w:rFonts w:eastAsia="Times New Roman" w:cs="Arial"/>
          <w:color w:val="auto"/>
          <w:sz w:val="24"/>
          <w:szCs w:val="24"/>
          <w:lang w:eastAsia="en-GB"/>
        </w:rPr>
        <w:t xml:space="preserve"> în Scenariul 2. Acesta presupune participarea zilnică (față în față) a tuturor preșcolarilor și elevilor din învățământul primar, a elevilor din clasele a VIII-a și a XII-a, cu respectarea și aplicarea tuturor normelor de protecție, respectiv revenirea parțială (prin rotație de una-două săptămâni) a elevilor din celelalte clase de gimnaziu și liceu, cu respectarea și aplicarea tuturor normelor de protecție</w:t>
      </w:r>
    </w:p>
    <w:p>
      <w:pPr>
        <w:pStyle w:val="Normal"/>
        <w:shd w:val="clear" w:color="auto" w:fill="FFFFFF"/>
        <w:spacing w:lineRule="auto" w:line="240" w:before="160" w:after="150"/>
        <w:rPr/>
      </w:pPr>
      <w:r>
        <w:rPr>
          <w:rFonts w:eastAsia="Times New Roman" w:cs="Arial"/>
          <w:b/>
          <w:bCs/>
          <w:color w:val="auto"/>
          <w:sz w:val="24"/>
          <w:szCs w:val="24"/>
          <w:lang w:eastAsia="en-GB"/>
        </w:rPr>
        <w:t xml:space="preserve">- </w:t>
      </w:r>
      <w:r>
        <w:rPr>
          <w:rFonts w:eastAsia="Times New Roman" w:cs="Arial"/>
          <w:b/>
          <w:bCs/>
          <w:color w:val="auto"/>
          <w:sz w:val="24"/>
          <w:szCs w:val="24"/>
          <w:lang w:eastAsia="en-GB"/>
        </w:rPr>
        <w:t>5</w:t>
      </w:r>
      <w:r>
        <w:rPr>
          <w:rFonts w:eastAsia="Times New Roman" w:cs="Arial"/>
          <w:color w:val="auto"/>
          <w:sz w:val="24"/>
          <w:szCs w:val="24"/>
          <w:lang w:eastAsia="en-GB"/>
        </w:rPr>
        <w:t xml:space="preserve"> şcoli din 2 </w:t>
      </w:r>
      <w:r>
        <w:rPr>
          <w:rFonts w:eastAsia="Times New Roman" w:cs="Arial"/>
          <w:color w:val="auto"/>
          <w:sz w:val="24"/>
          <w:szCs w:val="24"/>
          <w:lang w:eastAsia="en-GB"/>
        </w:rPr>
        <w:t xml:space="preserve">unități de învățământ </w:t>
      </w:r>
      <w:r>
        <w:rPr>
          <w:rFonts w:eastAsia="Times New Roman" w:cs="Arial"/>
          <w:color w:val="auto"/>
          <w:sz w:val="24"/>
          <w:szCs w:val="24"/>
          <w:lang w:eastAsia="en-GB"/>
        </w:rPr>
        <w:t>cu Personalitate Juridică</w:t>
      </w:r>
      <w:r>
        <w:rPr>
          <w:rFonts w:eastAsia="Times New Roman" w:cs="Arial"/>
          <w:color w:val="auto"/>
          <w:sz w:val="24"/>
          <w:szCs w:val="24"/>
          <w:lang w:eastAsia="en-GB"/>
        </w:rPr>
        <w:t xml:space="preserve"> în Scenariul 3: participarea tuturor preșcolarilor și elevilor la activități/lecții online.</w:t>
      </w:r>
    </w:p>
    <w:p>
      <w:pPr>
        <w:pStyle w:val="Normal"/>
        <w:shd w:val="clear" w:color="auto" w:fill="FFFFFF"/>
        <w:spacing w:lineRule="auto" w:line="240" w:before="160" w:after="150"/>
        <w:rPr>
          <w:rFonts w:eastAsia="Times New Roman" w:cs="Arial"/>
          <w:color w:val="auto"/>
          <w:sz w:val="24"/>
          <w:szCs w:val="24"/>
          <w:lang w:eastAsia="en-GB"/>
        </w:rPr>
      </w:pPr>
      <w:r>
        <w:rPr>
          <w:rFonts w:eastAsia="Times New Roman" w:cs="Arial"/>
          <w:color w:val="auto"/>
          <w:sz w:val="24"/>
          <w:szCs w:val="24"/>
          <w:lang w:eastAsia="en-GB"/>
        </w:rPr>
        <w:t xml:space="preserve">Consiliile de administrație de la nivelul fiecărei unități de învățământ au adoptat propunerile în funcție de analiza situației epidemiologice efectuate la nivel național de către direcțiile de sănătate publică și Institutul Național de Sănătate Publică (comunicată în data de 7 septembrie), de infrastructura și de resursele existente în fiecare unitate de învățământ. </w:t>
      </w:r>
    </w:p>
    <w:p>
      <w:pPr>
        <w:pStyle w:val="Normal"/>
        <w:shd w:val="clear" w:color="auto" w:fill="FFFFFF"/>
        <w:spacing w:lineRule="auto" w:line="240" w:before="160" w:after="150"/>
        <w:rPr>
          <w:rFonts w:eastAsia="Times New Roman" w:cs="Arial"/>
          <w:color w:val="auto"/>
          <w:sz w:val="24"/>
          <w:szCs w:val="24"/>
          <w:lang w:eastAsia="en-GB"/>
        </w:rPr>
      </w:pPr>
      <w:r>
        <w:rPr>
          <w:rFonts w:eastAsia="Times New Roman" w:cs="Arial"/>
          <w:color w:val="auto"/>
          <w:sz w:val="24"/>
          <w:szCs w:val="24"/>
          <w:lang w:eastAsia="en-GB"/>
        </w:rPr>
        <w:t>Potrivit respectivei analize, în 2.728 de localități numărul de cazuri de noi îmbolnăviri, confirmate în ultimele 14 zile, este mai mic de 1 la 1.000 de locuitori, în 410 localități numărul de cazuri de noi îmbolnăviri, confirmate în ultimele 14 zile, se situează între 1 și 3 la 1.000 de locuitori, iar în 43 de localități numărul de cazuri de noi îmbolnăviri, confirmate în ultimele 14 zile, este mai mare sau egal cu 3 la 1.000 de locuitori.</w:t>
      </w:r>
    </w:p>
    <w:p>
      <w:pPr>
        <w:pStyle w:val="Normal"/>
        <w:shd w:val="clear" w:color="auto" w:fill="FFFFFF"/>
        <w:spacing w:lineRule="auto" w:line="240" w:before="160" w:after="150"/>
        <w:rPr/>
      </w:pPr>
      <w:r>
        <w:rPr>
          <w:rFonts w:eastAsia="Times New Roman" w:cs="Arial"/>
          <w:color w:val="auto"/>
          <w:sz w:val="24"/>
          <w:szCs w:val="24"/>
          <w:lang w:eastAsia="en-GB"/>
        </w:rPr>
        <w:t>Reamintim că, potrivit Ordinului comun al ministrului educației și cercetării și al ministrului sănătății nr. 5.487/1494/01.09.2020, criteriul epidemiologic în baza căruia unitățile/instituțiile de învățământ stabilesc unul dintre cele trei scenarii de funcționare este rata incidenței cumulate, respectiv: numărul total de cazuri noi din ultimele 14 zile raportat la 1.000 de locuitori.</w:t>
      </w:r>
    </w:p>
    <w:sectPr>
      <w:headerReference w:type="default" r:id="rId2"/>
      <w:footerReference w:type="default" r:id="rId3"/>
      <w:type w:val="nextPage"/>
      <w:pgSz w:w="11906" w:h="16838"/>
      <w:pgMar w:left="1418" w:right="707" w:header="0" w:top="1843" w:footer="245"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egoe UI">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0"/>
      <w:rPr>
        <w:sz w:val="14"/>
        <w:szCs w:val="14"/>
      </w:rPr>
    </w:pPr>
    <w:r>
      <w:rPr>
        <w:sz w:val="14"/>
        <w:szCs w:val="14"/>
      </w:rPr>
      <w:t>Str. G-ral H. M. Berthelot nr. 28-30, Sector 1, București, România</w:t>
      <w:tab/>
      <w:tab/>
    </w:r>
  </w:p>
  <w:p>
    <w:pPr>
      <w:pStyle w:val="Footer"/>
      <w:spacing w:before="0" w:after="0"/>
      <w:rPr>
        <w:sz w:val="14"/>
        <w:szCs w:val="14"/>
      </w:rPr>
    </w:pPr>
    <w:r>
      <w:rPr>
        <w:sz w:val="14"/>
        <w:szCs w:val="14"/>
      </w:rPr>
      <w:t>Tel.: +4 021 405 62 23 Fax: +4 021 312 47 19 E-mail: cabinet@edu.gov.ro</w:t>
    </w:r>
  </w:p>
  <w:p>
    <w:pPr>
      <w:pStyle w:val="Footer"/>
      <w:spacing w:before="0" w:after="0"/>
      <w:rPr>
        <w:b/>
        <w:b/>
      </w:rPr>
    </w:pPr>
    <w:r>
      <w:rPr>
        <w:b/>
        <w:sz w:val="14"/>
        <w:szCs w:val="14"/>
      </w:rPr>
      <w:t>www.edu.ro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142" w:leader="none"/>
        <w:tab w:val="center" w:pos="4703" w:leader="none"/>
        <w:tab w:val="right" w:pos="9406" w:leader="none"/>
      </w:tabs>
      <w:spacing w:before="160" w:after="0"/>
      <w:rPr/>
    </w:pPr>
    <w:r>
      <w:drawing>
        <wp:anchor behindDoc="1" distT="0" distB="0" distL="0" distR="0" simplePos="0" locked="0" layoutInCell="1" allowOverlap="1" relativeHeight="2">
          <wp:simplePos x="0" y="0"/>
          <wp:positionH relativeFrom="margin">
            <wp:align>left</wp:align>
          </wp:positionH>
          <wp:positionV relativeFrom="paragraph">
            <wp:posOffset>275590</wp:posOffset>
          </wp:positionV>
          <wp:extent cx="3503930" cy="771525"/>
          <wp:effectExtent l="0" t="0" r="0" b="0"/>
          <wp:wrapNone/>
          <wp:docPr id="1" name="Picture 5"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E:\IDENTITATE.GOV.RO\Logo Ministere-20191111\Logo Ministere\13.MEC\logo MEC-albastru.png"/>
                  <pic:cNvPicPr>
                    <a:picLocks noChangeAspect="1" noChangeArrowheads="1"/>
                  </pic:cNvPicPr>
                </pic:nvPicPr>
                <pic:blipFill>
                  <a:blip r:embed="rId1"/>
                  <a:stretch>
                    <a:fillRect/>
                  </a:stretch>
                </pic:blipFill>
                <pic:spPr bwMode="auto">
                  <a:xfrm>
                    <a:off x="0" y="0"/>
                    <a:ext cx="3503930" cy="771525"/>
                  </a:xfrm>
                  <a:prstGeom prst="rect">
                    <a:avLst/>
                  </a:prstGeom>
                </pic:spPr>
              </pic:pic>
            </a:graphicData>
          </a:graphic>
        </wp:anchor>
      </w:drawing>
    </w:r>
    <w:r>
      <w:rPr/>
      <w:tab/>
    </w:r>
    <w:r>
      <w:rPr/>
      <w:tab/>
      <w:tab/>
      <w:tab/>
      <w:t xml:space="preserve">                  </w: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Trebuchet MS"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72bd"/>
    <w:pPr>
      <w:widowControl/>
      <w:bidi w:val="0"/>
      <w:spacing w:lineRule="auto" w:line="276" w:before="160" w:after="240"/>
      <w:jc w:val="both"/>
    </w:pPr>
    <w:rPr>
      <w:rFonts w:ascii="Trebuchet MS" w:hAnsi="Trebuchet MS" w:cs="Open Sans" w:eastAsia="Trebuchet MS"/>
      <w:color w:val="000000"/>
      <w:kern w:val="0"/>
      <w:sz w:val="22"/>
      <w:szCs w:val="22"/>
      <w:lang w:val="ro-RO" w:eastAsia="en-US" w:bidi="ar-SA"/>
    </w:rPr>
  </w:style>
  <w:style w:type="paragraph" w:styleId="Heading1">
    <w:name w:val="Heading 1"/>
    <w:basedOn w:val="Normal"/>
    <w:link w:val="Heading1Char"/>
    <w:uiPriority w:val="9"/>
    <w:qFormat/>
    <w:rsid w:val="00de05b4"/>
    <w:pPr>
      <w:spacing w:lineRule="auto" w:line="240" w:beforeAutospacing="1" w:afterAutospacing="1"/>
      <w:jc w:val="left"/>
      <w:outlineLvl w:val="0"/>
    </w:pPr>
    <w:rPr>
      <w:rFonts w:ascii="Times New Roman" w:hAnsi="Times New Roman" w:eastAsia="Times New Roman" w:cs="Times New Roman"/>
      <w:b/>
      <w:bCs/>
      <w:color w:val="auto"/>
      <w:kern w:val="2"/>
      <w:sz w:val="48"/>
      <w:szCs w:val="48"/>
      <w:lang w:val="en-GB" w:eastAsia="en-GB"/>
    </w:rPr>
  </w:style>
  <w:style w:type="paragraph" w:styleId="Heading3">
    <w:name w:val="Heading 3"/>
    <w:basedOn w:val="Normal"/>
    <w:next w:val="Normal"/>
    <w:link w:val="Heading3Char"/>
    <w:uiPriority w:val="9"/>
    <w:semiHidden/>
    <w:unhideWhenUsed/>
    <w:qFormat/>
    <w:rsid w:val="0003368a"/>
    <w:pPr>
      <w:keepNext w:val="true"/>
      <w:keepLines/>
      <w:spacing w:before="40" w:after="0"/>
      <w:outlineLvl w:val="2"/>
    </w:pPr>
    <w:rPr>
      <w:rFonts w:ascii="Trebuchet MS" w:hAnsi="Trebuchet MS"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745d4"/>
    <w:rPr/>
  </w:style>
  <w:style w:type="character" w:styleId="FooterChar" w:customStyle="1">
    <w:name w:val="Footer Char"/>
    <w:basedOn w:val="DefaultParagraphFont"/>
    <w:link w:val="Footer"/>
    <w:uiPriority w:val="99"/>
    <w:qFormat/>
    <w:rsid w:val="000745d4"/>
    <w:rPr/>
  </w:style>
  <w:style w:type="character" w:styleId="FooterChar1" w:customStyle="1">
    <w:name w:val="footer Char"/>
    <w:basedOn w:val="FooterChar"/>
    <w:link w:val="Footer1"/>
    <w:qFormat/>
    <w:rsid w:val="009772bd"/>
    <w:rPr>
      <w:rFonts w:ascii="Trebuchet MS" w:hAnsi="Trebuchet MS" w:cs="Open Sans"/>
      <w:color w:val="000000"/>
      <w:sz w:val="14"/>
      <w:szCs w:val="14"/>
      <w:lang w:val="ro-RO"/>
    </w:rPr>
  </w:style>
  <w:style w:type="character" w:styleId="InternetLink">
    <w:name w:val="Internet Link"/>
    <w:basedOn w:val="DefaultParagraphFont"/>
    <w:uiPriority w:val="99"/>
    <w:unhideWhenUsed/>
    <w:rsid w:val="002a06eb"/>
    <w:rPr>
      <w:color w:val="0563C1" w:themeColor="hyperlink"/>
      <w:u w:val="single"/>
    </w:rPr>
  </w:style>
  <w:style w:type="character" w:styleId="BalloonTextChar" w:customStyle="1">
    <w:name w:val="Balloon Text Char"/>
    <w:basedOn w:val="DefaultParagraphFont"/>
    <w:link w:val="BalloonText"/>
    <w:uiPriority w:val="99"/>
    <w:semiHidden/>
    <w:qFormat/>
    <w:rsid w:val="00cc767d"/>
    <w:rPr>
      <w:rFonts w:ascii="Segoe UI" w:hAnsi="Segoe UI" w:cs="Segoe UI"/>
      <w:color w:val="000000"/>
      <w:sz w:val="18"/>
      <w:szCs w:val="18"/>
      <w:lang w:val="ro-RO"/>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styleId="Heading1Char" w:customStyle="1">
    <w:name w:val="Heading 1 Char"/>
    <w:basedOn w:val="DefaultParagraphFont"/>
    <w:link w:val="Heading1"/>
    <w:uiPriority w:val="9"/>
    <w:qFormat/>
    <w:rsid w:val="00de05b4"/>
    <w:rPr>
      <w:rFonts w:ascii="Times New Roman" w:hAnsi="Times New Roman" w:eastAsia="Times New Roman" w:cs="Times New Roman"/>
      <w:b/>
      <w:bCs/>
      <w:kern w:val="2"/>
      <w:sz w:val="48"/>
      <w:szCs w:val="48"/>
      <w:lang w:val="en-GB" w:eastAsia="en-GB"/>
    </w:rPr>
  </w:style>
  <w:style w:type="character" w:styleId="FollowedHyperlink">
    <w:name w:val="FollowedHyperlink"/>
    <w:basedOn w:val="DefaultParagraphFont"/>
    <w:uiPriority w:val="99"/>
    <w:semiHidden/>
    <w:unhideWhenUsed/>
    <w:qFormat/>
    <w:rsid w:val="007862dd"/>
    <w:rPr>
      <w:color w:val="954F72" w:themeColor="followedHyperlink"/>
      <w:u w:val="single"/>
    </w:rPr>
  </w:style>
  <w:style w:type="character" w:styleId="BodyTextChar" w:customStyle="1">
    <w:name w:val="Body Text Char"/>
    <w:basedOn w:val="DefaultParagraphFont"/>
    <w:link w:val="BodyText"/>
    <w:uiPriority w:val="1"/>
    <w:qFormat/>
    <w:rsid w:val="00ea080a"/>
    <w:rPr>
      <w:rFonts w:ascii="Calibri" w:hAnsi="Calibri" w:eastAsia="" w:cs="Calibri" w:eastAsiaTheme="minorEastAsia"/>
      <w:sz w:val="20"/>
      <w:szCs w:val="20"/>
    </w:rPr>
  </w:style>
  <w:style w:type="character" w:styleId="St" w:customStyle="1">
    <w:name w:val="st"/>
    <w:basedOn w:val="DefaultParagraphFont"/>
    <w:qFormat/>
    <w:rsid w:val="001e0b8f"/>
    <w:rPr/>
  </w:style>
  <w:style w:type="character" w:styleId="FootnoteTextChar" w:customStyle="1">
    <w:name w:val="Footnote Text Char"/>
    <w:basedOn w:val="DefaultParagraphFont"/>
    <w:link w:val="FootnoteText"/>
    <w:uiPriority w:val="99"/>
    <w:semiHidden/>
    <w:qFormat/>
    <w:rsid w:val="002331d9"/>
    <w:rPr>
      <w:rFonts w:ascii="Trebuchet MS" w:hAnsi="Trebuchet MS" w:cs="Open Sans"/>
      <w:color w:val="000000"/>
      <w:sz w:val="20"/>
      <w:szCs w:val="20"/>
      <w:lang w:val="ro-RO"/>
    </w:rPr>
  </w:style>
  <w:style w:type="character" w:styleId="FootnoteCharacters">
    <w:name w:val="Footnote Characters"/>
    <w:basedOn w:val="DefaultParagraphFont"/>
    <w:uiPriority w:val="99"/>
    <w:semiHidden/>
    <w:unhideWhenUsed/>
    <w:qFormat/>
    <w:rsid w:val="002331d9"/>
    <w:rPr>
      <w:vertAlign w:val="superscript"/>
    </w:rPr>
  </w:style>
  <w:style w:type="character" w:styleId="FootnoteAnchor">
    <w:name w:val="Footnote Anchor"/>
    <w:rPr>
      <w:vertAlign w:val="superscript"/>
    </w:rPr>
  </w:style>
  <w:style w:type="character" w:styleId="Heading3Char" w:customStyle="1">
    <w:name w:val="Heading 3 Char"/>
    <w:basedOn w:val="DefaultParagraphFont"/>
    <w:link w:val="Heading3"/>
    <w:uiPriority w:val="9"/>
    <w:semiHidden/>
    <w:qFormat/>
    <w:rsid w:val="0003368a"/>
    <w:rPr>
      <w:rFonts w:ascii="Trebuchet MS" w:hAnsi="Trebuchet MS" w:eastAsia="" w:cs="" w:asciiTheme="majorHAnsi" w:cstheme="majorBidi" w:eastAsiaTheme="majorEastAsia" w:hAnsiTheme="majorHAnsi"/>
      <w:color w:val="1F4D78" w:themeColor="accent1" w:themeShade="7f"/>
      <w:sz w:val="24"/>
      <w:szCs w:val="24"/>
      <w:lang w:val="ro-RO"/>
    </w:rPr>
  </w:style>
  <w:style w:type="character" w:styleId="ListLabel1">
    <w:name w:val="ListLabel 1"/>
    <w:qFormat/>
    <w:rPr>
      <w:rFonts w:eastAsia="Trebuchet MS"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rebuchet MS"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ea080a"/>
    <w:pPr>
      <w:widowControl w:val="false"/>
      <w:spacing w:lineRule="auto" w:line="240" w:before="0" w:after="0"/>
      <w:jc w:val="left"/>
    </w:pPr>
    <w:rPr>
      <w:rFonts w:ascii="Calibri" w:hAnsi="Calibri" w:eastAsia="" w:cs="Calibri" w:eastAsiaTheme="minorEastAsia"/>
      <w:color w:val="auto"/>
      <w:sz w:val="20"/>
      <w:szCs w:val="20"/>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0745d4"/>
    <w:pPr>
      <w:tabs>
        <w:tab w:val="clear" w:pos="720"/>
        <w:tab w:val="center" w:pos="4703" w:leader="none"/>
        <w:tab w:val="right" w:pos="9406" w:leader="none"/>
      </w:tabs>
      <w:spacing w:lineRule="auto" w:line="240" w:before="160" w:after="0"/>
    </w:pPr>
    <w:rPr/>
  </w:style>
  <w:style w:type="paragraph" w:styleId="Footer">
    <w:name w:val="Footer"/>
    <w:basedOn w:val="Normal"/>
    <w:link w:val="FooterChar"/>
    <w:uiPriority w:val="99"/>
    <w:unhideWhenUsed/>
    <w:rsid w:val="000745d4"/>
    <w:pPr>
      <w:tabs>
        <w:tab w:val="clear" w:pos="720"/>
        <w:tab w:val="center" w:pos="4703" w:leader="none"/>
        <w:tab w:val="right" w:pos="9406" w:leader="none"/>
      </w:tabs>
      <w:spacing w:lineRule="auto" w:line="240" w:before="160" w:after="0"/>
    </w:pPr>
    <w:rPr/>
  </w:style>
  <w:style w:type="paragraph" w:styleId="NormalWeb">
    <w:name w:val="Normal (Web)"/>
    <w:basedOn w:val="Normal"/>
    <w:uiPriority w:val="99"/>
    <w:unhideWhenUsed/>
    <w:qFormat/>
    <w:rsid w:val="002328dd"/>
    <w:pPr>
      <w:spacing w:lineRule="auto" w:line="240" w:beforeAutospacing="1" w:afterAutospacing="1"/>
    </w:pPr>
    <w:rPr>
      <w:rFonts w:ascii="Times New Roman" w:hAnsi="Times New Roman" w:eastAsia="Times New Roman" w:cs="Times New Roman"/>
      <w:sz w:val="24"/>
      <w:szCs w:val="24"/>
    </w:rPr>
  </w:style>
  <w:style w:type="paragraph" w:styleId="Footer1" w:customStyle="1">
    <w:name w:val="Footer1"/>
    <w:basedOn w:val="Footer"/>
    <w:link w:val="footerChar0"/>
    <w:qFormat/>
    <w:rsid w:val="009772bd"/>
    <w:pPr>
      <w:spacing w:before="0" w:after="0"/>
    </w:pPr>
    <w:rPr>
      <w:sz w:val="14"/>
      <w:szCs w:val="14"/>
    </w:rPr>
  </w:style>
  <w:style w:type="paragraph" w:styleId="BalloonText">
    <w:name w:val="Balloon Text"/>
    <w:basedOn w:val="Normal"/>
    <w:link w:val="BalloonTextChar"/>
    <w:uiPriority w:val="99"/>
    <w:semiHidden/>
    <w:unhideWhenUsed/>
    <w:qFormat/>
    <w:rsid w:val="00cc767d"/>
    <w:pPr>
      <w:spacing w:lineRule="auto" w:line="240" w:before="0" w:after="0"/>
    </w:pPr>
    <w:rPr>
      <w:rFonts w:ascii="Segoe UI" w:hAnsi="Segoe UI" w:cs="Segoe UI"/>
      <w:sz w:val="18"/>
      <w:szCs w:val="18"/>
    </w:rPr>
  </w:style>
  <w:style w:type="paragraph" w:styleId="Rtejustify" w:customStyle="1">
    <w:name w:val="rtejustify"/>
    <w:basedOn w:val="Normal"/>
    <w:qFormat/>
    <w:rsid w:val="008433ba"/>
    <w:pPr>
      <w:spacing w:lineRule="auto" w:line="240" w:beforeAutospacing="1" w:afterAutospacing="1"/>
      <w:jc w:val="left"/>
    </w:pPr>
    <w:rPr>
      <w:rFonts w:ascii="Times New Roman" w:hAnsi="Times New Roman" w:eastAsia="Times New Roman" w:cs="Times New Roman"/>
      <w:color w:val="auto"/>
      <w:sz w:val="24"/>
      <w:szCs w:val="24"/>
      <w:lang w:val="en-GB" w:eastAsia="en-GB"/>
    </w:rPr>
  </w:style>
  <w:style w:type="paragraph" w:styleId="ListParagraph">
    <w:name w:val="List Paragraph"/>
    <w:basedOn w:val="Normal"/>
    <w:uiPriority w:val="34"/>
    <w:qFormat/>
    <w:rsid w:val="00de2648"/>
    <w:pPr>
      <w:spacing w:lineRule="auto" w:line="252" w:before="0" w:after="160"/>
      <w:ind w:left="720" w:hanging="0"/>
      <w:contextualSpacing/>
      <w:jc w:val="left"/>
    </w:pPr>
    <w:rPr>
      <w:rFonts w:ascii="Calibri" w:hAnsi="Calibri" w:cs="Calibri"/>
      <w:color w:val="auto"/>
      <w:lang w:val="en-GB" w:eastAsia="en-GB"/>
    </w:rPr>
  </w:style>
  <w:style w:type="paragraph" w:styleId="NoSpacing">
    <w:name w:val="No Spacing"/>
    <w:uiPriority w:val="1"/>
    <w:qFormat/>
    <w:rsid w:val="000161d5"/>
    <w:pPr>
      <w:widowControl/>
      <w:bidi w:val="0"/>
      <w:spacing w:lineRule="auto" w:line="240" w:before="0" w:after="0"/>
      <w:jc w:val="both"/>
    </w:pPr>
    <w:rPr>
      <w:rFonts w:ascii="Trebuchet MS" w:hAnsi="Trebuchet MS" w:cs="Open Sans" w:eastAsia="Trebuchet MS"/>
      <w:color w:val="000000"/>
      <w:kern w:val="0"/>
      <w:sz w:val="22"/>
      <w:szCs w:val="22"/>
      <w:lang w:val="ro-RO" w:eastAsia="en-US" w:bidi="ar-SA"/>
    </w:rPr>
  </w:style>
  <w:style w:type="paragraph" w:styleId="Footnote">
    <w:name w:val="Footnote Text"/>
    <w:basedOn w:val="Normal"/>
    <w:link w:val="FootnoteTextChar"/>
    <w:uiPriority w:val="99"/>
    <w:semiHidden/>
    <w:unhideWhenUsed/>
    <w:rsid w:val="002331d9"/>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Grid2">
    <w:name w:val="Table Grid2"/>
    <w:basedOn w:val="TableNormal"/>
    <w:uiPriority w:val="39"/>
    <w:rsid w:val="0003368a"/>
    <w:pPr>
      <w:spacing w:after="0" w:line="240" w:lineRule="auto"/>
    </w:pPr>
    <w:rPr>
      <w:lang w:val="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
    <w:name w:val="Table Grid"/>
    <w:basedOn w:val="TableNormal"/>
    <w:uiPriority w:val="39"/>
    <w:rsid w:val="0003368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Ultra_Office/6.2.3.2$Windows_x86 LibreOffice_project/</Application>
  <Pages>1</Pages>
  <Words>405</Words>
  <Characters>2339</Characters>
  <CharactersWithSpaces>2755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2020-03-27T09:36:00Z</dcterms:created>
  <dc:creator/>
  <dc:description/>
  <dc:language>en-US</dc:language>
  <cp:lastModifiedBy/>
  <dcterms:modified xsi:type="dcterms:W3CDTF">2020-09-11T13:28:08Z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